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40"/>
        <w:jc w:val="center"/>
      </w:pPr>
      <w:r>
        <w:rPr>
          <w:rFonts w:ascii="Aptos Display" w:hAnsi="Aptos Display"/>
          <w:b/>
          <w:smallCaps/>
          <w:color w:val="182536"/>
          <w:sz w:val="68"/>
        </w:rPr>
        <w:t>MISRIAH</w:t>
      </w:r>
    </w:p>
    <w:p>
      <w:pPr>
        <w:spacing w:after="80"/>
        <w:jc w:val="center"/>
      </w:pPr>
      <w:r>
        <w:rPr>
          <w:rFonts w:ascii="Aptos Display" w:hAnsi="Aptos Display"/>
          <w:b/>
          <w:smallCaps/>
          <w:color w:val="56697A"/>
          <w:sz w:val="56"/>
        </w:rPr>
        <w:t>INDUSTRY MATERIALS GROUP</w:t>
      </w:r>
    </w:p>
    <w:p>
      <w:pPr>
        <w:spacing w:after="480"/>
        <w:jc w:val="center"/>
      </w:pPr>
      <w:r>
        <w:rPr>
          <w:rFonts w:ascii="Aptos" w:hAnsi="Aptos"/>
          <w:b/>
          <w:color w:val="9E7A3C"/>
          <w:sz w:val="30"/>
        </w:rPr>
        <w:t>[MIMGC]</w:t>
      </w:r>
    </w:p>
    <w:tbl>
      <w:tblPr>
        <w:tblW w:type="auto" w:w="0"/>
        <w:jc w:val="center"/>
        <w:tblLayout w:type="fixed"/>
        <w:tblLook w:firstColumn="1" w:firstRow="1" w:lastColumn="0" w:lastRow="0" w:noHBand="0" w:noVBand="1" w:val="04A0"/>
      </w:tblPr>
      <w:tblGrid>
        <w:gridCol w:w="9072"/>
      </w:tblGrid>
      <w:tr>
        <w:tc>
          <w:tcPr>
            <w:tcW w:type="dxa" w:w="10166"/>
            <w:shd w:fill="182536"/>
            <w:tcMar>
              <w:top w:w="170" w:type="dxa"/>
              <w:start w:w="180" w:type="dxa"/>
              <w:bottom w:w="170" w:type="dxa"/>
              <w:end w:w="180" w:type="dxa"/>
            </w:tcMar>
          </w:tcPr>
          <w:p>
            <w:pPr>
              <w:jc w:val="center"/>
            </w:pPr>
            <w:r>
              <w:rPr>
                <w:rFonts w:ascii="Aptos" w:hAnsi="Aptos"/>
                <w:b/>
                <w:color w:val="FFFFFF"/>
                <w:sz w:val="32"/>
              </w:rPr>
              <w:t>PUBLIC CORPORATE CHARTER &amp; OPERATIONS GUIDE</w:t>
            </w:r>
          </w:p>
        </w:tc>
        <w:trPr>
          <w:tblHeader/>
        </w:trPr>
      </w:tr>
    </w:tbl>
    <w:p>
      <w:pPr>
        <w:spacing w:before="520" w:after="100"/>
        <w:jc w:val="center"/>
      </w:pPr>
      <w:r>
        <w:rPr>
          <w:rFonts w:ascii="Aptos" w:hAnsi="Aptos"/>
          <w:b/>
          <w:color w:val="182536"/>
          <w:sz w:val="24"/>
        </w:rPr>
        <w:t>Version 1.4 - MISMAPS℠ Service Mark Alignment Edition</w:t>
      </w:r>
    </w:p>
    <w:p>
      <w:pPr>
        <w:spacing w:after="60"/>
        <w:jc w:val="center"/>
      </w:pPr>
      <w:r>
        <w:rPr>
          <w:rFonts w:ascii="Aptos" w:hAnsi="Aptos"/>
          <w:color w:val="56697A"/>
          <w:sz w:val="21"/>
        </w:rPr>
        <w:t>Executor Corporation of Misriah Consolidated Holdings [M-CON]</w:t>
      </w:r>
    </w:p>
    <w:p>
      <w:pPr>
        <w:spacing w:after="60"/>
        <w:jc w:val="center"/>
      </w:pPr>
      <w:r>
        <w:rPr>
          <w:rFonts w:ascii="Aptos" w:hAnsi="Aptos"/>
          <w:b/>
          <w:color w:val="9E7A3C"/>
          <w:sz w:val="21"/>
        </w:rPr>
        <w:t>Classification: PUBLIC</w:t>
      </w:r>
    </w:p>
    <w:p>
      <w:pPr>
        <w:spacing w:after="640"/>
        <w:jc w:val="center"/>
      </w:pPr>
      <w:r>
        <w:rPr>
          <w:rFonts w:ascii="Aptos" w:hAnsi="Aptos"/>
          <w:color w:val="4A5560"/>
          <w:sz w:val="19"/>
        </w:rPr>
        <w:t>Approved and Published August 1, 2026 - YC128.08.01</w:t>
      </w:r>
    </w:p>
    <w:p>
      <w:pPr>
        <w:jc w:val="center"/>
      </w:pPr>
      <w:r>
        <w:rPr>
          <w:rFonts w:ascii="Aptos" w:hAnsi="Aptos"/>
          <w:b/>
          <w:color w:val="182536"/>
          <w:sz w:val="36"/>
        </w:rPr>
        <w:t>WE DELIVER.</w:t>
      </w:r>
    </w:p>
    <w:p>
      <w:pPr>
        <w:jc w:val="center"/>
      </w:pPr>
      <w:r>
        <w:rPr>
          <w:rFonts w:ascii="Aptos" w:hAnsi="Aptos"/>
          <w:b/>
          <w:color w:val="9E7A3C"/>
          <w:sz w:val="26"/>
        </w:rPr>
        <w:t>FLY SAFE. BUILD HEAVY.</w:t>
      </w:r>
    </w:p>
    <w:p>
      <w:pPr>
        <w:spacing w:before="1240"/>
        <w:jc w:val="center"/>
      </w:pPr>
      <w:r>
        <w:rPr>
          <w:rFonts w:ascii="Aptos" w:hAnsi="Aptos"/>
          <w:i/>
          <w:color w:val="56697A"/>
          <w:sz w:val="15"/>
        </w:rPr>
        <w:t>MIMGC and M-CON are player-operated EVE Online organizations and are not affiliated with, sponsored by, or endorsed by CCP hf.</w:t>
      </w:r>
    </w:p>
    <w:p>
      <w:r>
        <w:br w:type="page"/>
      </w:r>
    </w:p>
    <w:p>
      <w:pPr>
        <w:keepNext/>
        <w:spacing w:before="0" w:after="140"/>
      </w:pPr>
      <w:r>
        <w:rPr>
          <w:rFonts w:ascii="Aptos" w:hAnsi="Aptos"/>
          <w:b/>
          <w:color w:val="9E7A3C"/>
          <w:sz w:val="42"/>
        </w:rPr>
        <w:t xml:space="preserve">00  </w:t>
      </w:r>
      <w:r>
        <w:rPr>
          <w:rFonts w:ascii="Aptos" w:hAnsi="Aptos"/>
          <w:b/>
          <w:color w:val="182536"/>
          <w:sz w:val="42"/>
        </w:rPr>
        <w:t>DOCUMENT CONTROL</w:t>
      </w:r>
    </w:p>
    <w:p>
      <w:pPr>
        <w:spacing w:after="200"/>
      </w:pPr>
      <w:r>
        <w:rPr>
          <w:rFonts w:ascii="Aptos" w:hAnsi="Aptos"/>
          <w:i/>
          <w:color w:val="56697A"/>
          <w:sz w:val="21"/>
        </w:rPr>
        <w:t>Purpose, authority, distribution, and contents of this public edition.</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tbl>
      <w:tblPr>
        <w:tblW w:type="auto" w:w="0"/>
        <w:jc w:val="center"/>
        <w:tblLayout w:type="fixed"/>
        <w:tblLook w:firstColumn="1" w:firstRow="1" w:lastColumn="0" w:lastRow="0" w:noHBand="0" w:noVBand="1" w:val="04A0"/>
      </w:tblPr>
      <w:tblGrid>
        <w:gridCol w:w="2664"/>
        <w:gridCol w:w="7272"/>
      </w:tblGrid>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Document ID</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MIMGC-PUB-001</w:t>
            </w:r>
          </w:p>
        </w:tc>
        <w:trPr>
          <w:tblHeader/>
        </w:trPr>
      </w:tr>
      <w:tr>
        <w:tc>
          <w:tcPr>
            <w:tcW w:type="dxa" w:w="5083"/>
            <w:tcMar>
              <w:top w:w="85" w:type="dxa"/>
              <w:start w:w="120" w:type="dxa"/>
              <w:bottom w:w="85" w:type="dxa"/>
              <w:end w:w="120" w:type="dxa"/>
            </w:tcMar>
            <w:shd w:fill="DCE3E8"/>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Title</w:t>
            </w:r>
          </w:p>
        </w:tc>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Public Corporate Charter &amp; Operations Guide</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Version</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1.4 - MISMAPS℠ Service Mark Alignment Edition</w:t>
            </w:r>
          </w:p>
        </w:tc>
      </w:tr>
      <w:tr>
        <w:tc>
          <w:tcPr>
            <w:tcW w:type="dxa" w:w="5083"/>
            <w:tcMar>
              <w:top w:w="85" w:type="dxa"/>
              <w:start w:w="120" w:type="dxa"/>
              <w:bottom w:w="85" w:type="dxa"/>
              <w:end w:w="120" w:type="dxa"/>
            </w:tcMar>
            <w:shd w:fill="DCE3E8"/>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Classification</w:t>
            </w:r>
          </w:p>
        </w:tc>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PUBLIC - Approved for unrestricted external distribution</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Document Owner</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CEO and Executor, Misriah Industry Materials Group [MIMGC]</w:t>
            </w:r>
          </w:p>
        </w:tc>
      </w:tr>
      <w:tr>
        <w:tc>
          <w:tcPr>
            <w:tcW w:type="dxa" w:w="5083"/>
            <w:tcMar>
              <w:top w:w="85" w:type="dxa"/>
              <w:start w:w="120" w:type="dxa"/>
              <w:bottom w:w="85" w:type="dxa"/>
              <w:end w:w="120" w:type="dxa"/>
            </w:tcMar>
            <w:shd w:fill="DCE3E8"/>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Effective Status</w:t>
            </w:r>
          </w:p>
        </w:tc>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APPROVED AND EFFECTIVE</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Review Cycle</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January 2027, or after a material policy, service, EULA, Terms, or game-mechanics change</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Approved By</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Nive Tsero, CEO and Executor</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Approval Date</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August 1, 2026 - YC128.08.01</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Effective Date</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August 1, 2026 - YC128.08.01</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Publication Date</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August 1, 2026 - YC128.08.01</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Next Scheduled Review</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January 2027</w:t>
            </w:r>
          </w:p>
        </w:tc>
      </w:tr>
      <w:tr>
        <w:tc>
          <w:tcPr>
            <w:tcW w:type="dxa" w:w="5083"/>
            <w:tcMar>
              <w:top w:w="85" w:type="dxa"/>
              <w:start w:w="120" w:type="dxa"/>
              <w:bottom w:w="85" w:type="dxa"/>
              <w:end w:w="120" w:type="dxa"/>
            </w:tcMar>
            <w:shd w:fill="F2F5F7"/>
            <w:tcBorders>
              <w:top w:val="single" w:sz="3" w:color="C9D2D9"/>
              <w:left w:val="single" w:sz="3" w:color="C9D2D9"/>
              <w:bottom w:val="single" w:sz="3" w:color="C9D2D9"/>
              <w:right w:val="single" w:sz="3" w:color="C9D2D9"/>
            </w:tcBorders>
            <w:vAlign w:val="center"/>
          </w:tcPr>
          <w:p>
            <w:pPr>
              <w:spacing w:after="0"/>
            </w:pPr>
            <w:r>
              <w:rPr>
                <w:rFonts w:ascii="Aptos" w:hAnsi="Aptos"/>
                <w:b/>
                <w:color w:val="182536"/>
                <w:sz w:val="17"/>
              </w:rPr>
              <w:t>Supersedes</w:t>
            </w:r>
          </w:p>
        </w:tc>
        <w:tc>
          <w:tcPr>
            <w:tcW w:type="dxa" w:w="5083"/>
            <w:tcMar>
              <w:top w:w="85" w:type="dxa"/>
              <w:start w:w="120" w:type="dxa"/>
              <w:bottom w:w="85" w:type="dxa"/>
              <w:end w:w="120" w:type="dxa"/>
            </w:tcMar>
            <w:shd w:fill="FFFFFF"/>
            <w:tcBorders>
              <w:top w:val="single" w:sz="3" w:color="C9D2D9"/>
              <w:left w:val="single" w:sz="3" w:color="C9D2D9"/>
              <w:bottom w:val="single" w:sz="3" w:color="C9D2D9"/>
              <w:right w:val="single" w:sz="3" w:color="C9D2D9"/>
            </w:tcBorders>
            <w:vAlign w:val="center"/>
          </w:tcPr>
          <w:p>
            <w:pPr>
              <w:spacing w:after="0"/>
            </w:pPr>
            <w:r>
              <w:rPr>
                <w:rFonts w:ascii="Aptos" w:hAnsi="Aptos"/>
                <w:color w:val="1F2933"/>
                <w:sz w:val="17"/>
              </w:rPr>
              <w:t>MIMGC Public Corporate Charter &amp; Operations Guide Version 1.3 - MISMAPS Ownership and Privacy Alignment Edition</w:t>
            </w:r>
          </w:p>
        </w:tc>
      </w:tr>
    </w:tbl>
    <w:p>
      <w:pPr>
        <w:spacing w:after="20"/>
      </w:pPr>
    </w:p>
    <w:p>
      <w:pPr>
        <w:keepNext/>
        <w:spacing w:before="100" w:after="80"/>
      </w:pPr>
      <w:r>
        <w:rPr>
          <w:rFonts w:ascii="Aptos" w:hAnsi="Aptos"/>
          <w:b/>
          <w:color w:val="56697A"/>
          <w:sz w:val="22"/>
        </w:rPr>
        <w:t>PURPOSE AND LIMITS</w:t>
      </w:r>
    </w:p>
    <w:p>
      <w:pPr>
        <w:keepNext w:val="0"/>
        <w:spacing w:before="0" w:after="80" w:line="259" w:lineRule="auto"/>
      </w:pPr>
      <w:r>
        <w:rPr>
          <w:rFonts w:ascii="Aptos" w:hAnsi="Aptos"/>
          <w:color w:val="1F2933"/>
          <w:sz w:val="19"/>
        </w:rPr>
        <w:t>This guide presents the public identity, services, conduct standards, membership model, and diplomatic posture of MIMGC. It is written for applicants, clients, allied organizations, prospective alliance members, and the general public.</w:t>
      </w:r>
    </w:p>
    <w:p>
      <w:pPr>
        <w:keepNext w:val="0"/>
        <w:spacing w:before="0" w:after="80" w:line="259" w:lineRule="auto"/>
      </w:pPr>
      <w:r>
        <w:rPr>
          <w:rFonts w:ascii="Aptos" w:hAnsi="Aptos"/>
          <w:color w:val="1F2933"/>
          <w:sz w:val="19"/>
        </w:rPr>
        <w:t>This approved public edition supersedes Version 1.3. It adds service-mark notice language to the privacy-safe statement of MISMAPS℠ real-world ownership and MIMGC Cartography operating authority while preserving the collective-defense summary and continuing to exclude active routes, schedules, client records, access arrangements, wallet controls, structure readiness, investigations, stockpiles, and other Internal, Restricted, or Command information.</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CONTROLLING AUTHORITY AND ORDER OF PRECEDENCE</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The then-current EVE Online End User License Agreement, Terms of Service, official CCP rules, policies, and applicable game mechanics take precedence over this guide and every MIMGC or M-CON rule, policy, directive, agreement, or instruction.</w:t>
              <w:br/>
              <w:br/>
              <w:t>MIMGC and M-CON may impose stricter internal standards than CCP requires, but they may never authorize conduct prohibited by CCP. No CEO, Director, officer, Fleet Commander, diplomatic representative, or other member may grant an exception to the EVE Online EULA, Terms of Service, or official CCP policy.</w:t>
              <w:br/>
              <w:br/>
              <w:t>If this public guide conflicts with a controlled internal MIMGC or M-CON policy, the controlled internal policy governs corporate and alliance conduct, subject always to the superior authority of CCP's current rules and applicable game mechanics.</w:t>
              <w:br/>
              <w:br/>
              <w:t>If a CCP rule, policy, or game-mechanics change makes any MIMGC or M-CON provision inaccurate, impossible, or noncompliant, the affected provision is suspended to the extent of the conflict until formally reviewed and corrected. Members must follow the current CCP requirement and seek guidance from Executive Command when uncertainty exists.</w:t>
              <w:br/>
              <w:br/>
              <w:t>No public statement creates access rights, guarantees acceptance of a service or contract, or authorizes conduct otherwise prohibited by CCP, MIMGC, or M-CON.</w:t>
            </w:r>
          </w:p>
        </w:tc>
      </w:tr>
    </w:tbl>
    <w:p>
      <w:pPr>
        <w:spacing w:after="20"/>
      </w:pPr>
    </w:p>
    <w:p>
      <w:pPr>
        <w:keepNext/>
        <w:spacing w:before="100" w:after="80"/>
      </w:pPr>
      <w:r>
        <w:rPr>
          <w:rFonts w:ascii="Aptos" w:hAnsi="Aptos"/>
          <w:b/>
          <w:color w:val="56697A"/>
          <w:sz w:val="22"/>
        </w:rPr>
        <w:t>CONTENTS</w:t>
      </w:r>
    </w:p>
    <w:p>
      <w:pPr>
        <w:pStyle w:val="ListBullet"/>
        <w:spacing w:after="26" w:line="247" w:lineRule="auto"/>
        <w:ind w:left="259" w:hanging="173"/>
      </w:pPr>
      <w:r>
        <w:rPr>
          <w:rFonts w:ascii="Aptos" w:hAnsi="Aptos"/>
          <w:color w:val="1F2933"/>
          <w:sz w:val="18"/>
        </w:rPr>
        <w:t>01 - Corporate Profile</w:t>
      </w:r>
    </w:p>
    <w:p>
      <w:pPr>
        <w:pStyle w:val="ListBullet"/>
        <w:spacing w:after="26" w:line="247" w:lineRule="auto"/>
        <w:ind w:left="259" w:hanging="173"/>
      </w:pPr>
      <w:r>
        <w:rPr>
          <w:rFonts w:ascii="Aptos" w:hAnsi="Aptos"/>
          <w:color w:val="1F2933"/>
          <w:sz w:val="18"/>
        </w:rPr>
        <w:t>02 - Mission and Operating Principles</w:t>
      </w:r>
    </w:p>
    <w:p>
      <w:pPr>
        <w:pStyle w:val="ListBullet"/>
        <w:spacing w:after="26" w:line="247" w:lineRule="auto"/>
        <w:ind w:left="259" w:hanging="173"/>
      </w:pPr>
      <w:r>
        <w:rPr>
          <w:rFonts w:ascii="Aptos" w:hAnsi="Aptos"/>
          <w:color w:val="1F2933"/>
          <w:sz w:val="18"/>
        </w:rPr>
        <w:t>03 - Public Services and Contracting</w:t>
      </w:r>
    </w:p>
    <w:p>
      <w:pPr>
        <w:pStyle w:val="ListBullet"/>
        <w:spacing w:after="26" w:line="247" w:lineRule="auto"/>
        <w:ind w:left="259" w:hanging="173"/>
      </w:pPr>
      <w:r>
        <w:rPr>
          <w:rFonts w:ascii="Aptos" w:hAnsi="Aptos"/>
          <w:color w:val="1F2933"/>
          <w:sz w:val="18"/>
        </w:rPr>
        <w:t>04 - Neutrality, Conduct, and Defense</w:t>
      </w:r>
    </w:p>
    <w:p>
      <w:pPr>
        <w:pStyle w:val="ListBullet"/>
        <w:spacing w:after="26" w:line="247" w:lineRule="auto"/>
        <w:ind w:left="259" w:hanging="173"/>
      </w:pPr>
      <w:r>
        <w:rPr>
          <w:rFonts w:ascii="Aptos" w:hAnsi="Aptos"/>
          <w:color w:val="1F2933"/>
          <w:sz w:val="18"/>
        </w:rPr>
        <w:t>05 - Membership and Corporate Culture</w:t>
      </w:r>
    </w:p>
    <w:p>
      <w:pPr>
        <w:pStyle w:val="ListBullet"/>
        <w:spacing w:after="26" w:line="247" w:lineRule="auto"/>
        <w:ind w:left="259" w:hanging="173"/>
      </w:pPr>
      <w:r>
        <w:rPr>
          <w:rFonts w:ascii="Aptos" w:hAnsi="Aptos"/>
          <w:color w:val="1F2933"/>
          <w:sz w:val="18"/>
        </w:rPr>
        <w:t>06 - Ranks, Specialists, and Advancement</w:t>
      </w:r>
    </w:p>
    <w:p>
      <w:pPr>
        <w:pStyle w:val="ListBullet"/>
        <w:spacing w:after="26" w:line="247" w:lineRule="auto"/>
        <w:ind w:left="259" w:hanging="173"/>
      </w:pPr>
      <w:r>
        <w:rPr>
          <w:rFonts w:ascii="Aptos" w:hAnsi="Aptos"/>
          <w:color w:val="1F2933"/>
          <w:sz w:val="18"/>
        </w:rPr>
        <w:t>07 - Member Services: Buyback and Freight</w:t>
      </w:r>
    </w:p>
    <w:p>
      <w:pPr>
        <w:pStyle w:val="ListBullet"/>
        <w:spacing w:after="26" w:line="247" w:lineRule="auto"/>
        <w:ind w:left="259" w:hanging="173"/>
      </w:pPr>
      <w:r>
        <w:rPr>
          <w:rFonts w:ascii="Aptos" w:hAnsi="Aptos"/>
          <w:color w:val="1F2933"/>
          <w:sz w:val="18"/>
        </w:rPr>
        <w:t>08 - M-CON Alliance and Diplomacy</w:t>
      </w:r>
    </w:p>
    <w:p>
      <w:pPr>
        <w:pStyle w:val="ListBullet"/>
        <w:spacing w:after="26" w:line="247" w:lineRule="auto"/>
        <w:ind w:left="259" w:hanging="173"/>
      </w:pPr>
      <w:r>
        <w:rPr>
          <w:rFonts w:ascii="Aptos" w:hAnsi="Aptos"/>
          <w:color w:val="1F2933"/>
          <w:sz w:val="18"/>
        </w:rPr>
        <w:t>09 - Confidentiality and Public Information</w:t>
      </w:r>
    </w:p>
    <w:p>
      <w:pPr>
        <w:pStyle w:val="ListBullet"/>
        <w:spacing w:after="26" w:line="247" w:lineRule="auto"/>
        <w:ind w:left="259" w:hanging="173"/>
      </w:pPr>
      <w:r>
        <w:rPr>
          <w:rFonts w:ascii="Aptos" w:hAnsi="Aptos"/>
          <w:color w:val="1F2933"/>
          <w:sz w:val="18"/>
        </w:rPr>
        <w:t>10 - Contacts, Legal Notice, and Official References</w:t>
      </w:r>
    </w:p>
    <w:p>
      <w:r>
        <w:br w:type="page"/>
      </w:r>
    </w:p>
    <w:p>
      <w:pPr>
        <w:keepNext/>
        <w:spacing w:before="0" w:after="140"/>
      </w:pPr>
      <w:r>
        <w:rPr>
          <w:rFonts w:ascii="Aptos" w:hAnsi="Aptos"/>
          <w:b/>
          <w:color w:val="9E7A3C"/>
          <w:sz w:val="42"/>
        </w:rPr>
        <w:t xml:space="preserve">01  </w:t>
      </w:r>
      <w:r>
        <w:rPr>
          <w:rFonts w:ascii="Aptos" w:hAnsi="Aptos"/>
          <w:b/>
          <w:color w:val="182536"/>
          <w:sz w:val="42"/>
        </w:rPr>
        <w:t>CORPORATE PROFILE</w:t>
      </w:r>
    </w:p>
    <w:p>
      <w:pPr>
        <w:spacing w:after="200"/>
      </w:pPr>
      <w:r>
        <w:rPr>
          <w:rFonts w:ascii="Aptos" w:hAnsi="Aptos"/>
          <w:i/>
          <w:color w:val="56697A"/>
          <w:sz w:val="21"/>
        </w:rPr>
        <w:t>A neutral industrial corporation built to supply New Eden.</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CORPORATE IDENTITY</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Misriah Industry Materials Group [MIMGC] is an American-based industrial and logistics corporation founded in YC126. MIMGC serves as the Executor Corporation of Misriah Consolidated Holdings [M-CON]. Its public headquarters is identified as Aydoteaux.</w:t>
            </w:r>
          </w:p>
        </w:tc>
      </w:tr>
    </w:tbl>
    <w:p>
      <w:pPr>
        <w:spacing w:after="20"/>
      </w:pPr>
    </w:p>
    <w:p>
      <w:pPr>
        <w:keepNext/>
        <w:spacing w:before="100" w:after="80"/>
      </w:pPr>
      <w:r>
        <w:rPr>
          <w:rFonts w:ascii="Aptos" w:hAnsi="Aptos"/>
          <w:b/>
          <w:color w:val="56697A"/>
          <w:sz w:val="22"/>
        </w:rPr>
        <w:t>WHO WE ARE</w:t>
      </w:r>
    </w:p>
    <w:p>
      <w:pPr>
        <w:keepNext w:val="0"/>
        <w:spacing w:before="0" w:after="100" w:line="259" w:lineRule="auto"/>
      </w:pPr>
      <w:r>
        <w:rPr>
          <w:rFonts w:ascii="Aptos" w:hAnsi="Aptos"/>
          <w:color w:val="1F2933"/>
          <w:sz w:val="19"/>
        </w:rPr>
        <w:t>MIMGC exists to organize capsuleers, infrastructure, and capital around dependable industrial work. Our focus is not territorial conquest or political theater. Our focus is gathering resources, producing useful goods, moving freight, supporting infrastructure, and completing contracts with discipline.</w:t>
      </w:r>
    </w:p>
    <w:p>
      <w:pPr>
        <w:keepNext w:val="0"/>
        <w:spacing w:before="0" w:after="100" w:line="259" w:lineRule="auto"/>
      </w:pPr>
      <w:r>
        <w:rPr>
          <w:rFonts w:ascii="Aptos" w:hAnsi="Aptos"/>
          <w:color w:val="1F2933"/>
          <w:sz w:val="19"/>
        </w:rPr>
        <w:t>We welcome new and experienced players. A pilot may join to learn mining, hauling, manufacturing, procurement, salvage, or fleet support; an experienced industrialist may join to manage larger projects, develop production capacity, or support alliance operations.</w:t>
      </w:r>
    </w:p>
    <w:p>
      <w:pPr>
        <w:keepNext/>
        <w:spacing w:before="100" w:after="80"/>
      </w:pPr>
      <w:r>
        <w:rPr>
          <w:rFonts w:ascii="Aptos" w:hAnsi="Aptos"/>
          <w:b/>
          <w:color w:val="56697A"/>
          <w:sz w:val="22"/>
        </w:rPr>
        <w:t>CORPORATE FACTS</w:t>
      </w:r>
    </w:p>
    <w:tbl>
      <w:tblPr>
        <w:tblW w:type="auto" w:w="0"/>
        <w:jc w:val="center"/>
        <w:tblLayout w:type="fixed"/>
        <w:tblLook w:firstColumn="1" w:firstRow="1" w:lastColumn="0" w:lastRow="0" w:noHBand="0" w:noVBand="1" w:val="04A0"/>
      </w:tblPr>
      <w:tblGrid>
        <w:gridCol w:w="2880"/>
        <w:gridCol w:w="7056"/>
      </w:tblGrid>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Corporation</w:t>
            </w:r>
          </w:p>
        </w:tc>
        <w:tc>
          <w:tcPr>
            <w:tcW w:type="dxa" w:w="5083"/>
            <w:shd w:fill="F2F5F7"/>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Misriah Industry Materials Group [MIMGC]</w:t>
            </w:r>
          </w:p>
        </w:tc>
        <w:trPr>
          <w:tblHeader/>
        </w:trPr>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Alliance</w:t>
            </w:r>
          </w:p>
        </w:tc>
        <w:tc>
          <w:tcPr>
            <w:tcW w:type="dxa" w:w="5083"/>
            <w:shd w:fill="FFFFFF"/>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Misriah Consolidated Holdings [M-CON]</w:t>
            </w:r>
          </w:p>
        </w:tc>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Alliance Role</w:t>
            </w:r>
          </w:p>
        </w:tc>
        <w:tc>
          <w:tcPr>
            <w:tcW w:type="dxa" w:w="5083"/>
            <w:shd w:fill="F2F5F7"/>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Executor Corporation</w:t>
            </w:r>
          </w:p>
        </w:tc>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Founded</w:t>
            </w:r>
          </w:p>
        </w:tc>
        <w:tc>
          <w:tcPr>
            <w:tcW w:type="dxa" w:w="5083"/>
            <w:shd w:fill="FFFFFF"/>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YC126</w:t>
            </w:r>
          </w:p>
        </w:tc>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Public Headquarters</w:t>
            </w:r>
          </w:p>
        </w:tc>
        <w:tc>
          <w:tcPr>
            <w:tcW w:type="dxa" w:w="5083"/>
            <w:shd w:fill="F2F5F7"/>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Aydoteaux</w:t>
            </w:r>
          </w:p>
        </w:tc>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Primary Time Zone</w:t>
            </w:r>
          </w:p>
        </w:tc>
        <w:tc>
          <w:tcPr>
            <w:tcW w:type="dxa" w:w="5083"/>
            <w:shd w:fill="FFFFFF"/>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America/Chicago (United States Central Time)</w:t>
            </w:r>
          </w:p>
        </w:tc>
      </w:tr>
      <w:tr>
        <w:tc>
          <w:tcPr>
            <w:tcW w:type="dxa" w:w="5083"/>
            <w:shd w:fill="182536"/>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Public Motto</w:t>
            </w:r>
          </w:p>
        </w:tc>
        <w:tc>
          <w:tcPr>
            <w:tcW w:type="dxa" w:w="5083"/>
            <w:shd w:fill="F2F5F7"/>
            <w:tcMar>
              <w:top w:w="90" w:type="dxa"/>
              <w:start w:w="130" w:type="dxa"/>
              <w:bottom w:w="9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WE DELIVER. / FLY SAFE. BUILD HEAVY.</w:t>
            </w:r>
          </w:p>
        </w:tc>
      </w:tr>
    </w:tbl>
    <w:p>
      <w:pPr>
        <w:keepNext/>
        <w:spacing w:before="100" w:after="80"/>
      </w:pPr>
      <w:r>
        <w:rPr>
          <w:rFonts w:ascii="Aptos" w:hAnsi="Aptos"/>
          <w:b/>
          <w:color w:val="56697A"/>
          <w:sz w:val="22"/>
        </w:rPr>
        <w:t>BRAND PROMISE</w:t>
      </w:r>
    </w:p>
    <w:p>
      <w:pPr>
        <w:keepNext w:val="0"/>
        <w:spacing w:before="0" w:after="100" w:line="259" w:lineRule="auto"/>
      </w:pPr>
      <w:r>
        <w:rPr>
          <w:rFonts w:ascii="Aptos" w:hAnsi="Aptos"/>
          <w:color w:val="1F2933"/>
          <w:sz w:val="19"/>
        </w:rPr>
        <w:t>"We Deliver" is both a service promise and a standard of conduct. MIMGC aims to communicate clearly, protect entrusted assets, complete accepted work, and report problems early rather than conceal them. No corporation can eliminate risk in New Eden, but MIMGC can manage risk honestly and professionally.</w:t>
      </w:r>
    </w:p>
    <w:p>
      <w:pPr>
        <w:keepNext w:val="0"/>
        <w:spacing w:before="0" w:after="60" w:line="259" w:lineRule="auto"/>
      </w:pPr>
      <w:r>
        <w:rPr>
          <w:rFonts w:ascii="Aptos" w:hAnsi="Aptos"/>
          <w:color w:val="1F2933"/>
          <w:sz w:val="19"/>
        </w:rPr>
        <w:t>Promotional humor about benefits, Prime shipping, drug testing, or similar workplace themes is fictional corporate flavor. It does not create real-world employment, insurance, compensation, or legal benefits.</w:t>
      </w:r>
    </w:p>
    <w:p>
      <w:r>
        <w:br w:type="page"/>
      </w:r>
    </w:p>
    <w:p>
      <w:pPr>
        <w:keepNext/>
        <w:spacing w:before="0" w:after="140"/>
      </w:pPr>
      <w:r>
        <w:rPr>
          <w:rFonts w:ascii="Aptos" w:hAnsi="Aptos"/>
          <w:b/>
          <w:color w:val="9E7A3C"/>
          <w:sz w:val="42"/>
        </w:rPr>
        <w:t xml:space="preserve">02  </w:t>
      </w:r>
      <w:r>
        <w:rPr>
          <w:rFonts w:ascii="Aptos" w:hAnsi="Aptos"/>
          <w:b/>
          <w:color w:val="182536"/>
          <w:sz w:val="42"/>
        </w:rPr>
        <w:t>MISSION AND OPERATING PRINCIPLES</w:t>
      </w:r>
    </w:p>
    <w:p>
      <w:pPr>
        <w:spacing w:after="200"/>
      </w:pPr>
      <w:r>
        <w:rPr>
          <w:rFonts w:ascii="Aptos" w:hAnsi="Aptos"/>
          <w:i/>
          <w:color w:val="56697A"/>
          <w:sz w:val="21"/>
        </w:rPr>
        <w:t>The standards behind every contract, fleet, and member relationship.</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MISSION</w:t>
      </w:r>
    </w:p>
    <w:p>
      <w:pPr>
        <w:keepNext w:val="0"/>
        <w:spacing w:before="0" w:after="120" w:line="259" w:lineRule="auto"/>
      </w:pPr>
      <w:r>
        <w:rPr>
          <w:rFonts w:ascii="Aptos" w:hAnsi="Aptos"/>
          <w:color w:val="1F2933"/>
          <w:sz w:val="19"/>
        </w:rPr>
        <w:t>MIMGC provides organized industrial capacity for members, clients, and alliance partners. We combine resource acquisition, fabrication, logistics, and defensive readiness so that useful material reaches the people and places that need it.</w:t>
      </w:r>
    </w:p>
    <w:tbl>
      <w:tblPr>
        <w:tblW w:type="auto" w:w="0"/>
        <w:jc w:val="center"/>
        <w:tblLayout w:type="fixed"/>
        <w:tblLook w:firstColumn="1" w:firstRow="1" w:lastColumn="0" w:lastRow="0" w:noHBand="0" w:noVBand="1" w:val="04A0"/>
      </w:tblPr>
      <w:tblGrid>
        <w:gridCol w:w="2304"/>
        <w:gridCol w:w="7632"/>
      </w:tblGrid>
      <w:tr>
        <w:tc>
          <w:tcPr>
            <w:tcW w:type="dxa" w:w="5083"/>
            <w:shd w:fill="56697A"/>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Neutrality</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We avoid piracy, unprovoked aggression, and needless political conflict. Neutrality is a discipline, not passivity.</w:t>
            </w:r>
          </w:p>
        </w:tc>
        <w:trPr>
          <w:tblHeader/>
        </w:trPr>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Reliability</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We accept work deliberately, communicate constraints, and complete or properly transfer accepted responsibilities.</w:t>
            </w:r>
          </w:p>
        </w:tc>
      </w:tr>
      <w:tr>
        <w:tc>
          <w:tcPr>
            <w:tcW w:type="dxa" w:w="5083"/>
            <w:shd w:fill="56697A"/>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Asset Safety</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We use limits, approvals, appropriate ships, and operational security to reduce avoidable losses.</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Client Confidentiality</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We do not use client identities, cargo details, schedules, or commercial information as public content.</w:t>
            </w:r>
          </w:p>
        </w:tc>
      </w:tr>
      <w:tr>
        <w:tc>
          <w:tcPr>
            <w:tcW w:type="dxa" w:w="5083"/>
            <w:shd w:fill="56697A"/>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Real Life First</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Routine corporation activity never outranks employment, education, health, family, or personal responsibilities.</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Merit and Least Privilege</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Rank, access, and responsibility are earned through competence, reliability, need, and demonstrated trust.</w:t>
            </w:r>
          </w:p>
        </w:tc>
      </w:tr>
      <w:tr>
        <w:tc>
          <w:tcPr>
            <w:tcW w:type="dxa" w:w="5083"/>
            <w:shd w:fill="56697A"/>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Compliance</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MIMGC follows current CCP rules. Corporate policy may be stricter than CCP's minimum requirements, but MIMGC never authorizes conduct prohibited by the EVE Online EULA, Terms of Service, official CCP policy, or applicable game mechanics.</w:t>
            </w:r>
          </w:p>
        </w:tc>
      </w:tr>
    </w:tbl>
    <w:p>
      <w:pPr>
        <w:keepNext/>
        <w:spacing w:before="100" w:after="80"/>
      </w:pPr>
      <w:r>
        <w:rPr>
          <w:rFonts w:ascii="Aptos" w:hAnsi="Aptos"/>
          <w:b/>
          <w:color w:val="56697A"/>
          <w:sz w:val="22"/>
        </w:rPr>
        <w:t>WHAT THESE PRINCIPLES MEAN IN PRACTICE</w:t>
      </w:r>
    </w:p>
    <w:p>
      <w:pPr>
        <w:pStyle w:val="ListBullet"/>
        <w:spacing w:after="40" w:line="247" w:lineRule="auto"/>
        <w:ind w:left="259" w:hanging="173"/>
      </w:pPr>
      <w:r>
        <w:rPr>
          <w:rFonts w:ascii="Aptos" w:hAnsi="Aptos"/>
          <w:color w:val="1F2933"/>
          <w:sz w:val="18"/>
        </w:rPr>
        <w:t>We do not promise work that cannot be supported by available pilots, ships, access, or time.</w:t>
      </w:r>
    </w:p>
    <w:p>
      <w:pPr>
        <w:pStyle w:val="ListBullet"/>
        <w:spacing w:after="40" w:line="247" w:lineRule="auto"/>
        <w:ind w:left="259" w:hanging="173"/>
      </w:pPr>
      <w:r>
        <w:rPr>
          <w:rFonts w:ascii="Aptos" w:hAnsi="Aptos"/>
          <w:color w:val="1F2933"/>
          <w:sz w:val="18"/>
        </w:rPr>
        <w:t>We do not publish sensitive operations merely to advertise activity.</w:t>
      </w:r>
    </w:p>
    <w:p>
      <w:pPr>
        <w:pStyle w:val="ListBullet"/>
        <w:spacing w:after="40" w:line="247" w:lineRule="auto"/>
        <w:ind w:left="259" w:hanging="173"/>
      </w:pPr>
      <w:r>
        <w:rPr>
          <w:rFonts w:ascii="Aptos" w:hAnsi="Aptos"/>
          <w:color w:val="1F2933"/>
          <w:sz w:val="18"/>
        </w:rPr>
        <w:t>An action being mechanically possible or generally permitted by CCP does not necessarily make it authorized under MIMGC policy. Conversely, MIMGC authorization never makes CCP-prohibited conduct permissible.</w:t>
      </w:r>
    </w:p>
    <w:p>
      <w:pPr>
        <w:pStyle w:val="ListBullet"/>
        <w:spacing w:after="40" w:line="247" w:lineRule="auto"/>
        <w:ind w:left="259" w:hanging="173"/>
      </w:pPr>
      <w:r>
        <w:rPr>
          <w:rFonts w:ascii="Aptos" w:hAnsi="Aptos"/>
          <w:color w:val="1F2933"/>
          <w:sz w:val="18"/>
        </w:rPr>
        <w:t>We escalate security, account, harassment, and rule violations through the proper private or official channels.</w:t>
      </w:r>
    </w:p>
    <w:p>
      <w:pPr>
        <w:pStyle w:val="ListBullet"/>
        <w:spacing w:after="40" w:line="247" w:lineRule="auto"/>
        <w:ind w:left="259" w:hanging="173"/>
      </w:pPr>
      <w:r>
        <w:rPr>
          <w:rFonts w:ascii="Aptos" w:hAnsi="Aptos"/>
          <w:color w:val="1F2933"/>
          <w:sz w:val="18"/>
        </w:rPr>
        <w:t>We prefer repeatable systems over personality-based exceptions.</w:t>
      </w:r>
    </w:p>
    <w:p>
      <w:r>
        <w:br w:type="page"/>
      </w:r>
    </w:p>
    <w:p>
      <w:pPr>
        <w:keepNext/>
        <w:spacing w:before="0" w:after="140"/>
      </w:pPr>
      <w:r>
        <w:rPr>
          <w:rFonts w:ascii="Aptos" w:hAnsi="Aptos"/>
          <w:b/>
          <w:color w:val="9E7A3C"/>
          <w:sz w:val="42"/>
        </w:rPr>
        <w:t xml:space="preserve">03  </w:t>
      </w:r>
      <w:r>
        <w:rPr>
          <w:rFonts w:ascii="Aptos" w:hAnsi="Aptos"/>
          <w:b/>
          <w:color w:val="182536"/>
          <w:sz w:val="42"/>
        </w:rPr>
        <w:t>PUBLIC SERVICES AND CONTRACTING</w:t>
      </w:r>
    </w:p>
    <w:p>
      <w:pPr>
        <w:spacing w:after="200"/>
      </w:pPr>
      <w:r>
        <w:rPr>
          <w:rFonts w:ascii="Aptos" w:hAnsi="Aptos"/>
          <w:i/>
          <w:color w:val="56697A"/>
          <w:sz w:val="21"/>
        </w:rPr>
        <w:t>Industrial capability for corporations, alliances, and independent capsuleers.</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tbl>
      <w:tblPr>
        <w:tblW w:type="auto" w:w="0"/>
        <w:jc w:val="center"/>
        <w:tblLayout w:type="fixed"/>
        <w:tblLook w:firstColumn="1" w:firstRow="1" w:lastColumn="0" w:lastRow="0" w:noHBand="0" w:noVBand="1" w:val="04A0"/>
      </w:tblPr>
      <w:tblGrid>
        <w:gridCol w:w="2880"/>
        <w:gridCol w:w="7056"/>
      </w:tblGrid>
      <w:tr>
        <w:trPr>
          <w:tblHeader w:val="true"/>
        </w:trPr>
        <w:tc>
          <w:tcPr>
            <w:tcW w:type="dxa" w:w="5083"/>
            <w:shd w:fill="182536"/>
            <w:tcMar>
              <w:top w:w="90" w:type="dxa"/>
              <w:start w:w="130" w:type="dxa"/>
              <w:bottom w:w="90"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Service Area</w:t>
            </w:r>
          </w:p>
        </w:tc>
        <w:tc>
          <w:tcPr>
            <w:tcW w:type="dxa" w:w="5083"/>
            <w:shd w:fill="182536"/>
            <w:tcMar>
              <w:top w:w="90" w:type="dxa"/>
              <w:start w:w="130" w:type="dxa"/>
              <w:bottom w:w="90"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Public Description</w:t>
            </w:r>
          </w:p>
        </w:tc>
      </w:tr>
      <w:tr>
        <w:tc>
          <w:tcPr>
            <w:tcW w:type="dxa" w:w="5083"/>
            <w:shd w:fill="DCE3E8"/>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Resource Procurement</w:t>
            </w:r>
          </w:p>
        </w:tc>
        <w:tc>
          <w:tcPr>
            <w:tcW w:type="dxa" w:w="5083"/>
            <w:shd w:fill="FFFFFF"/>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Ore, ice, moon materials, minerals, salvage, Planetary Industry materials, and other approved inputs.</w:t>
            </w:r>
          </w:p>
        </w:tc>
      </w:tr>
      <w:tr>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Mining and Extraction</w:t>
            </w:r>
          </w:p>
        </w:tc>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Organized resource fleets and contract-based gathering, subject to location, security, and availability.</w:t>
            </w:r>
          </w:p>
        </w:tc>
      </w:tr>
      <w:tr>
        <w:tc>
          <w:tcPr>
            <w:tcW w:type="dxa" w:w="5083"/>
            <w:shd w:fill="DCE3E8"/>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Manufacturing</w:t>
            </w:r>
          </w:p>
        </w:tc>
        <w:tc>
          <w:tcPr>
            <w:tcW w:type="dxa" w:w="5083"/>
            <w:shd w:fill="FFFFFF"/>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Modules, munitions, components, ships, and larger production orders within available blueprint and facility capacity.</w:t>
            </w:r>
          </w:p>
        </w:tc>
      </w:tr>
      <w:tr>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Freight and Logistics</w:t>
            </w:r>
          </w:p>
        </w:tc>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Courier and supply-chain support using approved contracts, risk limits, and delivery procedures.</w:t>
            </w:r>
          </w:p>
        </w:tc>
      </w:tr>
      <w:tr>
        <w:tc>
          <w:tcPr>
            <w:tcW w:type="dxa" w:w="5083"/>
            <w:shd w:fill="DCE3E8"/>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Trade and Acquisition</w:t>
            </w:r>
          </w:p>
        </w:tc>
        <w:tc>
          <w:tcPr>
            <w:tcW w:type="dxa" w:w="5083"/>
            <w:shd w:fill="FFFFFF"/>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Approved market purchases, sourcing, and bulk material acquisition for clients or internal programs.</w:t>
            </w:r>
          </w:p>
        </w:tc>
      </w:tr>
      <w:tr>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Salvage and Decommissioning</w:t>
            </w:r>
          </w:p>
        </w:tc>
        <w:tc>
          <w:tcPr>
            <w:tcW w:type="dxa" w:w="5083"/>
            <w:shd w:fill="F2F5F7"/>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Asset recovery, salvage support, and structure decommissioning when operationally practical.</w:t>
            </w:r>
          </w:p>
        </w:tc>
      </w:tr>
      <w:tr>
        <w:tc>
          <w:tcPr>
            <w:tcW w:type="dxa" w:w="5083"/>
            <w:shd w:fill="DCE3E8"/>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Alliance Support</w:t>
            </w:r>
          </w:p>
        </w:tc>
        <w:tc>
          <w:tcPr>
            <w:tcW w:type="dxa" w:w="5083"/>
            <w:shd w:fill="FFFFFF"/>
            <w:tcMar>
              <w:top w:w="85" w:type="dxa"/>
              <w:start w:w="120" w:type="dxa"/>
              <w:bottom w:w="85" w:type="dxa"/>
              <w:end w:w="120" w:type="dxa"/>
            </w:tcMar>
            <w:tcBorders>
              <w:top w:val="single" w:sz="3" w:color="C9D2D9"/>
              <w:left w:val="single" w:sz="3" w:color="C9D2D9"/>
              <w:bottom w:val="single" w:sz="3" w:color="C9D2D9"/>
              <w:right w:val="single" w:sz="3" w:color="C9D2D9"/>
            </w:tcBorders>
          </w:tcPr>
          <w:p>
            <w:pPr>
              <w:spacing w:after="0" w:line="245" w:lineRule="auto"/>
            </w:pPr>
            <w:r>
              <w:rPr>
                <w:rFonts w:ascii="Aptos" w:hAnsi="Aptos"/>
                <w:color w:val="1F2933"/>
                <w:sz w:val="17"/>
              </w:rPr>
              <w:t>Industrial coordination, shared infrastructure support, and defensive logistics through M-CON.</w:t>
            </w:r>
          </w:p>
        </w:tc>
      </w:tr>
    </w:tbl>
    <w:p>
      <w:pPr>
        <w:keepNext/>
        <w:spacing w:before="100" w:after="80"/>
      </w:pPr>
      <w:r>
        <w:rPr>
          <w:rFonts w:ascii="Aptos" w:hAnsi="Aptos"/>
          <w:b/>
          <w:color w:val="56697A"/>
          <w:sz w:val="22"/>
        </w:rPr>
        <w:t>REQUESTING A CONTRACT</w:t>
      </w:r>
    </w:p>
    <w:p>
      <w:pPr>
        <w:keepNext w:val="0"/>
        <w:spacing w:before="0" w:after="80" w:line="259" w:lineRule="auto"/>
      </w:pPr>
      <w:r>
        <w:rPr>
          <w:rFonts w:ascii="Aptos" w:hAnsi="Aptos"/>
          <w:color w:val="1F2933"/>
          <w:sz w:val="19"/>
        </w:rPr>
        <w:t>A useful initial inquiry should identify the requesting pilot or organization, the type and approximate quantity of goods, the general pickup and delivery requirements, desired completion window, access limitations, and any special handling needs. Sensitive details should move to an authorized private channel.</w:t>
      </w:r>
    </w:p>
    <w:p>
      <w:pPr>
        <w:pStyle w:val="ListNumber"/>
        <w:spacing w:after="30" w:line="247" w:lineRule="auto"/>
        <w:ind w:left="317" w:hanging="202"/>
      </w:pPr>
      <w:r>
        <w:rPr>
          <w:rFonts w:ascii="Aptos" w:hAnsi="Aptos"/>
          <w:color w:val="1F2933"/>
          <w:sz w:val="18"/>
        </w:rPr>
        <w:t>Contact an authorized MIMGC or M-CON representative.</w:t>
      </w:r>
    </w:p>
    <w:p>
      <w:pPr>
        <w:pStyle w:val="ListNumber"/>
        <w:spacing w:after="30" w:line="247" w:lineRule="auto"/>
        <w:ind w:left="317" w:hanging="202"/>
      </w:pPr>
      <w:r>
        <w:rPr>
          <w:rFonts w:ascii="Aptos" w:hAnsi="Aptos"/>
          <w:color w:val="1F2933"/>
          <w:sz w:val="18"/>
        </w:rPr>
        <w:t>Provide enough information for an initial feasibility and risk review.</w:t>
      </w:r>
    </w:p>
    <w:p>
      <w:pPr>
        <w:pStyle w:val="ListNumber"/>
        <w:spacing w:after="30" w:line="247" w:lineRule="auto"/>
        <w:ind w:left="317" w:hanging="202"/>
      </w:pPr>
      <w:r>
        <w:rPr>
          <w:rFonts w:ascii="Aptos" w:hAnsi="Aptos"/>
          <w:color w:val="1F2933"/>
          <w:sz w:val="18"/>
        </w:rPr>
        <w:t>Receive written terms, pricing, collateral, timing, and contract instructions.</w:t>
      </w:r>
    </w:p>
    <w:p>
      <w:pPr>
        <w:pStyle w:val="ListNumber"/>
        <w:spacing w:after="40" w:line="247" w:lineRule="auto"/>
        <w:ind w:left="317" w:hanging="202"/>
      </w:pPr>
      <w:r>
        <w:rPr>
          <w:rFonts w:ascii="Aptos" w:hAnsi="Aptos"/>
          <w:color w:val="1F2933"/>
          <w:sz w:val="18"/>
        </w:rPr>
        <w:t>Treat the arrangement as accepted only after authorized written confirmation.</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NO AUTOMATIC ACCEPTANCE</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A public advertisement, conversation, estimate, or prior relationship does not automatically bind MIMGC or M-CON. Service availability depends on capacity, risk, access, war status, timing, security, and authorization.</w:t>
            </w:r>
          </w:p>
        </w:tc>
      </w:tr>
    </w:tbl>
    <w:p>
      <w:pPr>
        <w:spacing w:after="20"/>
      </w:pPr>
    </w:p>
    <w:p>
      <w:r>
        <w:br w:type="page"/>
      </w:r>
    </w:p>
    <w:p>
      <w:pPr>
        <w:keepNext/>
        <w:spacing w:before="0" w:after="140"/>
      </w:pPr>
      <w:r>
        <w:rPr>
          <w:rFonts w:ascii="Aptos" w:hAnsi="Aptos"/>
          <w:b/>
          <w:color w:val="9E7A3C"/>
          <w:sz w:val="42"/>
        </w:rPr>
        <w:t xml:space="preserve">04  </w:t>
      </w:r>
      <w:r>
        <w:rPr>
          <w:rFonts w:ascii="Aptos" w:hAnsi="Aptos"/>
          <w:b/>
          <w:color w:val="182536"/>
          <w:sz w:val="42"/>
        </w:rPr>
        <w:t>NEUTRALITY, CONDUCT, AND DEFENSE</w:t>
      </w:r>
    </w:p>
    <w:p>
      <w:pPr>
        <w:spacing w:after="200"/>
      </w:pPr>
      <w:r>
        <w:rPr>
          <w:rFonts w:ascii="Aptos" w:hAnsi="Aptos"/>
          <w:i/>
          <w:color w:val="56697A"/>
          <w:sz w:val="21"/>
        </w:rPr>
        <w:t>We do not seek conflict, but we protect what has been entrusted to us.</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NEUTRALITY DIRECTIVE</w:t>
      </w:r>
    </w:p>
    <w:p>
      <w:pPr>
        <w:keepNext w:val="0"/>
        <w:spacing w:before="0" w:after="100" w:line="259" w:lineRule="auto"/>
      </w:pPr>
      <w:r>
        <w:rPr>
          <w:rFonts w:ascii="Aptos" w:hAnsi="Aptos"/>
          <w:color w:val="1F2933"/>
          <w:sz w:val="19"/>
        </w:rPr>
        <w:t>MIMGC is not a pirate corporation, ganking organization, mercenary group, or offensive military power. Members may not initiate unauthorized aggression against neutral capsuleers or use MIMGC and M-CON assets to support prohibited activity.</w:t>
      </w:r>
    </w:p>
    <w:p>
      <w:pPr>
        <w:keepNext/>
        <w:spacing w:before="100" w:after="80"/>
      </w:pPr>
      <w:r>
        <w:rPr>
          <w:rFonts w:ascii="Aptos" w:hAnsi="Aptos"/>
          <w:b/>
          <w:color w:val="56697A"/>
          <w:sz w:val="22"/>
        </w:rPr>
        <w:t>PROHIBITED CONDUCT</w:t>
      </w:r>
    </w:p>
    <w:p>
      <w:pPr>
        <w:pStyle w:val="ListBullet"/>
        <w:spacing w:after="34" w:line="247" w:lineRule="auto"/>
        <w:ind w:left="259" w:hanging="173"/>
      </w:pPr>
      <w:r>
        <w:rPr>
          <w:rFonts w:ascii="Aptos" w:hAnsi="Aptos"/>
          <w:color w:val="1F2933"/>
          <w:sz w:val="18"/>
        </w:rPr>
        <w:t>Piracy, awoxing, suspect baiting, or unprovoked ganking.</w:t>
      </w:r>
    </w:p>
    <w:p>
      <w:pPr>
        <w:pStyle w:val="ListBullet"/>
        <w:spacing w:after="34" w:line="247" w:lineRule="auto"/>
        <w:ind w:left="259" w:hanging="173"/>
      </w:pPr>
      <w:r>
        <w:rPr>
          <w:rFonts w:ascii="Aptos" w:hAnsi="Aptos"/>
          <w:color w:val="1F2933"/>
          <w:sz w:val="18"/>
        </w:rPr>
        <w:t>Offensive gate camping, unauthorized kill-right hunting, or attacks on neutral competitors.</w:t>
      </w:r>
    </w:p>
    <w:p>
      <w:pPr>
        <w:pStyle w:val="ListBullet"/>
        <w:spacing w:after="34" w:line="247" w:lineRule="auto"/>
        <w:ind w:left="259" w:hanging="173"/>
      </w:pPr>
      <w:r>
        <w:rPr>
          <w:rFonts w:ascii="Aptos" w:hAnsi="Aptos"/>
          <w:color w:val="1F2933"/>
          <w:sz w:val="18"/>
        </w:rPr>
        <w:t>Unauthorized offensive fleets, duels conducted in the corporation name, or deliberate escalation.</w:t>
      </w:r>
    </w:p>
    <w:p>
      <w:pPr>
        <w:pStyle w:val="ListBullet"/>
        <w:spacing w:after="34" w:line="247" w:lineRule="auto"/>
        <w:ind w:left="259" w:hanging="173"/>
      </w:pPr>
      <w:r>
        <w:rPr>
          <w:rFonts w:ascii="Aptos" w:hAnsi="Aptos"/>
          <w:color w:val="1F2933"/>
          <w:sz w:val="18"/>
        </w:rPr>
        <w:t>Corporate theft, fraud, espionage, sabotage, deceptive internal contracts, or misuse of access.</w:t>
      </w:r>
    </w:p>
    <w:p>
      <w:pPr>
        <w:pStyle w:val="ListBullet"/>
        <w:spacing w:after="34" w:line="247" w:lineRule="auto"/>
        <w:ind w:left="259" w:hanging="173"/>
      </w:pPr>
      <w:r>
        <w:rPr>
          <w:rFonts w:ascii="Aptos" w:hAnsi="Aptos"/>
          <w:color w:val="1F2933"/>
          <w:sz w:val="18"/>
        </w:rPr>
        <w:t>Factional Warfare or pirate-insurgency participation under the MIMGC or M-CON name without written authorization.</w:t>
      </w:r>
    </w:p>
    <w:p>
      <w:pPr>
        <w:pStyle w:val="ListBullet"/>
        <w:spacing w:after="34" w:line="247" w:lineRule="auto"/>
        <w:ind w:left="259" w:hanging="173"/>
      </w:pPr>
      <w:r>
        <w:rPr>
          <w:rFonts w:ascii="Aptos" w:hAnsi="Aptos"/>
          <w:color w:val="1F2933"/>
          <w:sz w:val="18"/>
        </w:rPr>
        <w:t>Harassment, threats, doxxing, hate-based conduct, account sharing, botting, RMT, exploit abuse, or prohibited software.</w:t>
      </w:r>
    </w:p>
    <w:p>
      <w:pPr>
        <w:keepNext/>
        <w:spacing w:before="100" w:after="80"/>
      </w:pPr>
      <w:r>
        <w:rPr>
          <w:rFonts w:ascii="Aptos" w:hAnsi="Aptos"/>
          <w:b/>
          <w:color w:val="56697A"/>
          <w:sz w:val="22"/>
        </w:rPr>
        <w:t>DEFENSIVE POSTURE</w:t>
      </w:r>
    </w:p>
    <w:p>
      <w:pPr>
        <w:keepNext w:val="0"/>
        <w:spacing w:before="0" w:after="100" w:line="259" w:lineRule="auto"/>
      </w:pPr>
      <w:r>
        <w:rPr>
          <w:rFonts w:ascii="Aptos" w:hAnsi="Aptos"/>
          <w:color w:val="1F2933"/>
          <w:sz w:val="19"/>
        </w:rPr>
        <w:t>Neutrality does not require members to wait until destruction is unavoidable. Defensive action may be authorized against confirmed legal threats, active war targets under Command direction, pilots attacking or tackling protected personnel, hostile logistics directly supporting an attack, or immediate threats to protected assets.</w:t>
      </w:r>
    </w:p>
    <w:p>
      <w:pPr>
        <w:keepNext w:val="0"/>
        <w:spacing w:before="0" w:after="100" w:line="259" w:lineRule="auto"/>
      </w:pPr>
      <w:r>
        <w:rPr>
          <w:rFonts w:ascii="Aptos" w:hAnsi="Aptos"/>
          <w:color w:val="1F2933"/>
          <w:sz w:val="19"/>
        </w:rPr>
        <w:t>The presence of a suspect, criminal, or otherwise legally engageable pilot does not automatically make that pilot a MIMGC target. Members must follow current game mechanics, applicable engagement status, and corporate authorization. When uncertain, hold fire and contact Command.</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HIGH-SECURITY SAFETY</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MIMGC members are required to keep the in-game Safety setting GREEN in high-security space unless a properly authorized exception applies. GREEN Safety helps prevent actions that would create certain criminal or suspect consequences, but it does not make a ship invulnerable or remove all legal combat risk.</w:t>
            </w:r>
          </w:p>
        </w:tc>
      </w:tr>
    </w:tbl>
    <w:p>
      <w:pPr>
        <w:spacing w:after="20"/>
      </w:pPr>
    </w:p>
    <w:p>
      <w:pPr>
        <w:keepNext/>
        <w:spacing w:before="100" w:after="80"/>
      </w:pPr>
      <w:r>
        <w:rPr>
          <w:rFonts w:ascii="Aptos" w:hAnsi="Aptos"/>
          <w:b/>
          <w:color w:val="56697A"/>
          <w:sz w:val="22"/>
        </w:rPr>
        <w:t>WARS AND TRAVEL RISK</w:t>
      </w:r>
    </w:p>
    <w:p>
      <w:pPr>
        <w:keepNext w:val="0"/>
        <w:spacing w:before="0" w:after="60" w:line="259" w:lineRule="auto"/>
      </w:pPr>
      <w:r>
        <w:rPr>
          <w:rFonts w:ascii="Aptos" w:hAnsi="Aptos"/>
          <w:color w:val="1F2933"/>
          <w:sz w:val="19"/>
        </w:rPr>
        <w:t>Because MIMGC and M-CON may operate player-owned structures and participate in alliance activity, they may become eligible for or involved in formal wars. Applicants and members should understand that joining, leaving, or moving between organizations may not end war exposure immediately. Current notices and travel instructions must be checked before moving expensive assets.</w:t>
      </w:r>
    </w:p>
    <w:p>
      <w:r>
        <w:br w:type="page"/>
      </w:r>
    </w:p>
    <w:p>
      <w:pPr>
        <w:keepNext/>
        <w:spacing w:before="0" w:after="140"/>
      </w:pPr>
      <w:r>
        <w:rPr>
          <w:rFonts w:ascii="Aptos" w:hAnsi="Aptos"/>
          <w:b/>
          <w:color w:val="9E7A3C"/>
          <w:sz w:val="42"/>
        </w:rPr>
        <w:t xml:space="preserve">05  </w:t>
      </w:r>
      <w:r>
        <w:rPr>
          <w:rFonts w:ascii="Aptos" w:hAnsi="Aptos"/>
          <w:b/>
          <w:color w:val="182536"/>
          <w:sz w:val="42"/>
        </w:rPr>
        <w:t>MEMBERSHIP AND CORPORATE CULTURE</w:t>
      </w:r>
    </w:p>
    <w:p>
      <w:pPr>
        <w:spacing w:after="200"/>
      </w:pPr>
      <w:r>
        <w:rPr>
          <w:rFonts w:ascii="Aptos" w:hAnsi="Aptos"/>
          <w:i/>
          <w:color w:val="56697A"/>
          <w:sz w:val="21"/>
        </w:rPr>
        <w:t>New and experienced players are welcome.</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WHO WE ARE LOOKING FOR</w:t>
      </w:r>
    </w:p>
    <w:p>
      <w:pPr>
        <w:keepNext w:val="0"/>
        <w:spacing w:before="0" w:after="100" w:line="259" w:lineRule="auto"/>
      </w:pPr>
      <w:r>
        <w:rPr>
          <w:rFonts w:ascii="Aptos" w:hAnsi="Aptos"/>
          <w:color w:val="1F2933"/>
          <w:sz w:val="19"/>
        </w:rPr>
        <w:t>MIMGC recruits pilots interested in mining, hauling, manufacturing, refining, procurement, trade, Planetary Industry, salvage, scouting, defensive escort, structure support, project management, or alliance administration.</w:t>
      </w:r>
    </w:p>
    <w:p>
      <w:pPr>
        <w:keepNext/>
        <w:spacing w:before="100" w:after="80"/>
      </w:pPr>
      <w:r>
        <w:rPr>
          <w:rFonts w:ascii="Aptos" w:hAnsi="Aptos"/>
          <w:b/>
          <w:color w:val="56697A"/>
          <w:sz w:val="22"/>
        </w:rPr>
        <w:t>MEMBERSHIP EXPECTATIONS</w:t>
      </w:r>
    </w:p>
    <w:p>
      <w:pPr>
        <w:pStyle w:val="ListBullet"/>
        <w:spacing w:after="40" w:line="247" w:lineRule="auto"/>
        <w:ind w:left="259" w:hanging="173"/>
      </w:pPr>
      <w:r>
        <w:rPr>
          <w:rFonts w:ascii="Aptos" w:hAnsi="Aptos"/>
          <w:color w:val="1F2933"/>
          <w:sz w:val="18"/>
        </w:rPr>
        <w:t>Use Discord as the corporation primary communication platform.</w:t>
      </w:r>
    </w:p>
    <w:p>
      <w:pPr>
        <w:pStyle w:val="ListBullet"/>
        <w:spacing w:after="40" w:line="247" w:lineRule="auto"/>
        <w:ind w:left="259" w:hanging="173"/>
      </w:pPr>
      <w:r>
        <w:rPr>
          <w:rFonts w:ascii="Aptos" w:hAnsi="Aptos"/>
          <w:color w:val="1F2933"/>
          <w:sz w:val="18"/>
        </w:rPr>
        <w:t>Register the primary character and any corporate alts through the approved process.</w:t>
      </w:r>
    </w:p>
    <w:p>
      <w:pPr>
        <w:pStyle w:val="ListBullet"/>
        <w:spacing w:after="40" w:line="247" w:lineRule="auto"/>
        <w:ind w:left="259" w:hanging="173"/>
      </w:pPr>
      <w:r>
        <w:rPr>
          <w:rFonts w:ascii="Aptos" w:hAnsi="Aptos"/>
          <w:color w:val="1F2933"/>
          <w:sz w:val="18"/>
        </w:rPr>
        <w:t>Complete an initial 30-day probationary period.</w:t>
      </w:r>
    </w:p>
    <w:p>
      <w:pPr>
        <w:pStyle w:val="ListBullet"/>
        <w:spacing w:after="40" w:line="247" w:lineRule="auto"/>
        <w:ind w:left="259" w:hanging="173"/>
      </w:pPr>
      <w:r>
        <w:rPr>
          <w:rFonts w:ascii="Aptos" w:hAnsi="Aptos"/>
          <w:color w:val="1F2933"/>
          <w:sz w:val="18"/>
        </w:rPr>
        <w:t>Maintain GREEN Safety in high-security space and follow neutrality rules.</w:t>
      </w:r>
    </w:p>
    <w:p>
      <w:pPr>
        <w:pStyle w:val="ListBullet"/>
        <w:spacing w:after="40" w:line="247" w:lineRule="auto"/>
        <w:ind w:left="259" w:hanging="173"/>
      </w:pPr>
      <w:r>
        <w:rPr>
          <w:rFonts w:ascii="Aptos" w:hAnsi="Aptos"/>
          <w:color w:val="1F2933"/>
          <w:sz w:val="18"/>
        </w:rPr>
        <w:t>Check war and travel notices before moving valuable assets.</w:t>
      </w:r>
    </w:p>
    <w:p>
      <w:pPr>
        <w:pStyle w:val="ListBullet"/>
        <w:spacing w:after="40" w:line="247" w:lineRule="auto"/>
        <w:ind w:left="259" w:hanging="173"/>
      </w:pPr>
      <w:r>
        <w:rPr>
          <w:rFonts w:ascii="Aptos" w:hAnsi="Aptos"/>
          <w:color w:val="1F2933"/>
          <w:sz w:val="18"/>
        </w:rPr>
        <w:t>Protect client, contract, corporation, and alliance information.</w:t>
      </w:r>
    </w:p>
    <w:p>
      <w:pPr>
        <w:pStyle w:val="ListBullet"/>
        <w:spacing w:after="40" w:line="247" w:lineRule="auto"/>
        <w:ind w:left="259" w:hanging="173"/>
      </w:pPr>
      <w:r>
        <w:rPr>
          <w:rFonts w:ascii="Aptos" w:hAnsi="Aptos"/>
          <w:color w:val="1F2933"/>
          <w:sz w:val="18"/>
        </w:rPr>
        <w:t>Communicate promptly when an accepted responsibility can no longer be completed.</w:t>
      </w:r>
    </w:p>
    <w:p>
      <w:pPr>
        <w:keepNext/>
        <w:spacing w:before="100" w:after="80"/>
      </w:pPr>
      <w:r>
        <w:rPr>
          <w:rFonts w:ascii="Aptos" w:hAnsi="Aptos"/>
          <w:b/>
          <w:color w:val="56697A"/>
          <w:sz w:val="22"/>
        </w:rPr>
        <w:t>REAL LIFE FIRST</w:t>
      </w:r>
    </w:p>
    <w:p>
      <w:pPr>
        <w:keepNext w:val="0"/>
        <w:spacing w:before="0" w:after="100" w:line="259" w:lineRule="auto"/>
      </w:pPr>
      <w:r>
        <w:rPr>
          <w:rFonts w:ascii="Aptos" w:hAnsi="Aptos"/>
          <w:color w:val="1F2933"/>
          <w:sz w:val="19"/>
        </w:rPr>
        <w:t>MIMGC has no mandatory daily login requirement. Employment, education, health, family, and personal responsibilities take priority over routine corporation activity. Members do not need to disclose private real-life details to explain an absence or request a Leave of Absence.</w:t>
      </w:r>
    </w:p>
    <w:p>
      <w:pPr>
        <w:keepNext w:val="0"/>
        <w:spacing w:before="0" w:after="100" w:line="259" w:lineRule="auto"/>
      </w:pPr>
      <w:r>
        <w:rPr>
          <w:rFonts w:ascii="Aptos" w:hAnsi="Aptos"/>
          <w:color w:val="1F2933"/>
          <w:sz w:val="19"/>
        </w:rPr>
        <w:t>Real Life First does not mean that accepted work may be abandoned without communication. A member who accepts a time-sensitive contract, fleet position, project, or operational responsibility should complete it, transfer it properly, or notify the responsible officer as soon as practical.</w:t>
      </w:r>
    </w:p>
    <w:p>
      <w:pPr>
        <w:keepNext/>
        <w:spacing w:before="100" w:after="80"/>
      </w:pPr>
      <w:r>
        <w:rPr>
          <w:rFonts w:ascii="Aptos" w:hAnsi="Aptos"/>
          <w:b/>
          <w:color w:val="56697A"/>
          <w:sz w:val="22"/>
        </w:rPr>
        <w:t>PRIVACY AND ACCOUNT SECURITY</w:t>
      </w:r>
    </w:p>
    <w:p>
      <w:pPr>
        <w:keepNext w:val="0"/>
        <w:spacing w:before="0" w:after="100" w:line="259" w:lineRule="auto"/>
      </w:pPr>
      <w:r>
        <w:rPr>
          <w:rFonts w:ascii="Aptos" w:hAnsi="Aptos"/>
          <w:color w:val="1F2933"/>
          <w:sz w:val="19"/>
        </w:rPr>
        <w:t>MIMGC does not require mandatory ESI authorization or invasive character audits as a routine membership condition. Sensitive access is still earned and may require role-specific review, training, or operational need.</w:t>
      </w:r>
    </w:p>
    <w:p>
      <w:pPr>
        <w:keepNext w:val="0"/>
        <w:spacing w:before="0" w:after="100" w:line="259" w:lineRule="auto"/>
      </w:pPr>
      <w:r>
        <w:rPr>
          <w:rFonts w:ascii="Aptos" w:hAnsi="Aptos"/>
          <w:color w:val="1F2933"/>
          <w:sz w:val="19"/>
        </w:rPr>
        <w:t>MIMGC does not require members or applicants to provide EVE Online passwords, email passwords, authentication codes, recovery codes, or direct account access. No legitimate MIMGC or M-CON officer will request those credentials. Account sharing and credential sharing are prohibited.</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A WORKING CORPORATION, NOT A JOB</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Membership is participation in a player-run EVE Online organization. References to employment, insurance, retirement plans, drug testing, executive compensation, or similar themes in humorous recruitment material are fictional and do not create real-world employment or financial obligations.</w:t>
            </w:r>
          </w:p>
        </w:tc>
      </w:tr>
    </w:tbl>
    <w:p>
      <w:pPr>
        <w:spacing w:after="20"/>
      </w:pPr>
    </w:p>
    <w:p>
      <w:r>
        <w:br w:type="page"/>
      </w:r>
    </w:p>
    <w:p>
      <w:pPr>
        <w:keepNext/>
        <w:spacing w:before="0" w:after="140"/>
      </w:pPr>
      <w:r>
        <w:rPr>
          <w:rFonts w:ascii="Aptos" w:hAnsi="Aptos"/>
          <w:b/>
          <w:color w:val="9E7A3C"/>
          <w:sz w:val="42"/>
        </w:rPr>
        <w:t xml:space="preserve">06  </w:t>
      </w:r>
      <w:r>
        <w:rPr>
          <w:rFonts w:ascii="Aptos" w:hAnsi="Aptos"/>
          <w:b/>
          <w:color w:val="182536"/>
          <w:sz w:val="42"/>
        </w:rPr>
        <w:t>RANKS, SPECIALISTS, AND ADVANCEMENT</w:t>
      </w:r>
    </w:p>
    <w:p>
      <w:pPr>
        <w:spacing w:after="200"/>
      </w:pPr>
      <w:r>
        <w:rPr>
          <w:rFonts w:ascii="Aptos" w:hAnsi="Aptos"/>
          <w:i/>
          <w:color w:val="56697A"/>
          <w:sz w:val="21"/>
        </w:rPr>
        <w:t>Responsibility grows with demonstrated trust and operational need.</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tbl>
      <w:tblPr>
        <w:tblW w:type="auto" w:w="0"/>
        <w:jc w:val="center"/>
        <w:tblLayout w:type="fixed"/>
        <w:tblLook w:firstColumn="1" w:firstRow="1" w:lastColumn="0" w:lastRow="0" w:noHBand="0" w:noVBand="1" w:val="04A0"/>
      </w:tblPr>
      <w:tblGrid>
        <w:gridCol w:w="2592"/>
        <w:gridCol w:w="7344"/>
      </w:tblGrid>
      <w:tr>
        <w:tc>
          <w:tcPr>
            <w:tcW w:type="dxa" w:w="5083"/>
            <w:shd w:fill="182536"/>
            <w:tcMar>
              <w:top w:w="90" w:type="dxa"/>
              <w:start w:w="130" w:type="dxa"/>
              <w:bottom w:w="90"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Rank</w:t>
            </w:r>
          </w:p>
        </w:tc>
        <w:tc>
          <w:tcPr>
            <w:tcW w:type="dxa" w:w="5083"/>
            <w:shd w:fill="182536"/>
            <w:tcMar>
              <w:top w:w="90" w:type="dxa"/>
              <w:start w:w="130" w:type="dxa"/>
              <w:bottom w:w="90"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Public Description</w:t>
            </w:r>
          </w:p>
        </w:tc>
        <w:trPr>
          <w:tblHeader/>
        </w:trPr>
      </w:tr>
      <w:tr>
        <w:tc>
          <w:tcPr>
            <w:tcW w:type="dxa" w:w="5083"/>
            <w:shd w:fill="DCE3E8"/>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Initiate</w:t>
            </w:r>
          </w:p>
        </w:tc>
        <w:tc>
          <w:tcPr>
            <w:tcW w:type="dxa" w:w="5083"/>
            <w:shd w:fill="FFFFFF"/>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 newly accepted member completing the initial 30-day integration period.</w:t>
            </w:r>
          </w:p>
        </w:tc>
      </w:tr>
      <w:tr>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Operator</w:t>
            </w:r>
          </w:p>
        </w:tc>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 full line member who has completed probation and demonstrated basic reliability.</w:t>
            </w:r>
          </w:p>
        </w:tc>
      </w:tr>
      <w:tr>
        <w:tc>
          <w:tcPr>
            <w:tcW w:type="dxa" w:w="5083"/>
            <w:shd w:fill="DCE3E8"/>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Specialist</w:t>
            </w:r>
          </w:p>
        </w:tc>
        <w:tc>
          <w:tcPr>
            <w:tcW w:type="dxa" w:w="5083"/>
            <w:shd w:fill="FFFFFF"/>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 trusted technical member assigned to a recognized industrial, logistics, procurement, defense, or support function.</w:t>
            </w:r>
          </w:p>
        </w:tc>
      </w:tr>
      <w:tr>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Operations Commander</w:t>
            </w:r>
          </w:p>
        </w:tc>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 member authorized to manage a designated fleet, department, facility, or operational area.</w:t>
            </w:r>
          </w:p>
        </w:tc>
      </w:tr>
      <w:tr>
        <w:tc>
          <w:tcPr>
            <w:tcW w:type="dxa" w:w="5083"/>
            <w:shd w:fill="DCE3E8"/>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Executive Board</w:t>
            </w:r>
          </w:p>
        </w:tc>
        <w:tc>
          <w:tcPr>
            <w:tcW w:type="dxa" w:w="5083"/>
            <w:shd w:fill="FFFFFF"/>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Senior officers appointed to assist with corporate and alliance governance within assigned authority.</w:t>
            </w:r>
          </w:p>
        </w:tc>
      </w:tr>
      <w:tr>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Founder</w:t>
            </w:r>
          </w:p>
        </w:tc>
        <w:tc>
          <w:tcPr>
            <w:tcW w:type="dxa" w:w="5083"/>
            <w:shd w:fill="F2F5F7"/>
            <w:tcMar>
              <w:top w:w="90" w:type="dxa"/>
              <w:start w:w="125" w:type="dxa"/>
              <w:bottom w:w="90" w:type="dxa"/>
              <w:end w:w="125"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 permanent historical and honorary designation recorded by the corporation; not an ordinary promotion rank.</w:t>
            </w:r>
          </w:p>
        </w:tc>
      </w:tr>
    </w:tbl>
    <w:p>
      <w:pPr>
        <w:keepNext/>
        <w:spacing w:before="100" w:after="80"/>
      </w:pPr>
      <w:r>
        <w:rPr>
          <w:rFonts w:ascii="Aptos" w:hAnsi="Aptos"/>
          <w:b/>
          <w:color w:val="56697A"/>
          <w:sz w:val="22"/>
        </w:rPr>
        <w:t>SPECIALIST PATHS</w:t>
      </w:r>
    </w:p>
    <w:p>
      <w:pPr>
        <w:keepNext w:val="0"/>
        <w:spacing w:before="0" w:after="100" w:line="259" w:lineRule="auto"/>
      </w:pPr>
      <w:r>
        <w:rPr>
          <w:rFonts w:ascii="Aptos" w:hAnsi="Aptos"/>
          <w:color w:val="1F2933"/>
          <w:sz w:val="19"/>
        </w:rPr>
        <w:t>Recognized specialist functions may include Heavy Freight Pilot, Industrial Producer, Mining or Fleet Booster, Refining Specialist, Procurement Officer, Buyback Processor, Scout, Defensive Escort, Structure Technician, Production Manager, or other roles established by corporate need.</w:t>
      </w:r>
    </w:p>
    <w:p>
      <w:pPr>
        <w:keepNext/>
        <w:spacing w:before="100" w:after="80"/>
      </w:pPr>
      <w:r>
        <w:rPr>
          <w:rFonts w:ascii="Aptos" w:hAnsi="Aptos"/>
          <w:b/>
          <w:color w:val="56697A"/>
          <w:sz w:val="22"/>
        </w:rPr>
        <w:t>ADVANCEMENT STANDARDS</w:t>
      </w:r>
    </w:p>
    <w:p>
      <w:pPr>
        <w:pStyle w:val="ListBullet"/>
        <w:spacing w:after="34" w:line="247" w:lineRule="auto"/>
        <w:ind w:left="259" w:hanging="173"/>
      </w:pPr>
      <w:r>
        <w:rPr>
          <w:rFonts w:ascii="Aptos" w:hAnsi="Aptos"/>
          <w:color w:val="1F2933"/>
          <w:sz w:val="18"/>
        </w:rPr>
        <w:t>Reliability and communication.</w:t>
      </w:r>
    </w:p>
    <w:p>
      <w:pPr>
        <w:pStyle w:val="ListBullet"/>
        <w:spacing w:after="34" w:line="247" w:lineRule="auto"/>
        <w:ind w:left="259" w:hanging="173"/>
      </w:pPr>
      <w:r>
        <w:rPr>
          <w:rFonts w:ascii="Aptos" w:hAnsi="Aptos"/>
          <w:color w:val="1F2933"/>
          <w:sz w:val="18"/>
        </w:rPr>
        <w:t>Compliance with neutrality, security, and operational rules.</w:t>
      </w:r>
    </w:p>
    <w:p>
      <w:pPr>
        <w:pStyle w:val="ListBullet"/>
        <w:spacing w:after="34" w:line="247" w:lineRule="auto"/>
        <w:ind w:left="259" w:hanging="173"/>
      </w:pPr>
      <w:r>
        <w:rPr>
          <w:rFonts w:ascii="Aptos" w:hAnsi="Aptos"/>
          <w:color w:val="1F2933"/>
          <w:sz w:val="18"/>
        </w:rPr>
        <w:t>Competence in the relevant field.</w:t>
      </w:r>
    </w:p>
    <w:p>
      <w:pPr>
        <w:pStyle w:val="ListBullet"/>
        <w:spacing w:after="34" w:line="247" w:lineRule="auto"/>
        <w:ind w:left="259" w:hanging="173"/>
      </w:pPr>
      <w:r>
        <w:rPr>
          <w:rFonts w:ascii="Aptos" w:hAnsi="Aptos"/>
          <w:color w:val="1F2933"/>
          <w:sz w:val="18"/>
        </w:rPr>
        <w:t>Accurate contracts and responsible asset handling.</w:t>
      </w:r>
    </w:p>
    <w:p>
      <w:pPr>
        <w:pStyle w:val="ListBullet"/>
        <w:spacing w:after="34" w:line="247" w:lineRule="auto"/>
        <w:ind w:left="259" w:hanging="173"/>
      </w:pPr>
      <w:r>
        <w:rPr>
          <w:rFonts w:ascii="Aptos" w:hAnsi="Aptos"/>
          <w:color w:val="1F2933"/>
          <w:sz w:val="18"/>
        </w:rPr>
        <w:t>A legitimate department need and appropriate recommendation.</w:t>
      </w:r>
    </w:p>
    <w:p>
      <w:pPr>
        <w:pStyle w:val="ListBullet"/>
        <w:spacing w:after="34" w:line="247" w:lineRule="auto"/>
        <w:ind w:left="259" w:hanging="173"/>
      </w:pPr>
      <w:r>
        <w:rPr>
          <w:rFonts w:ascii="Aptos" w:hAnsi="Aptos"/>
          <w:color w:val="1F2933"/>
          <w:sz w:val="18"/>
        </w:rPr>
        <w:t>Leadership judgment for any command position.</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RANK IS NOT ACCESS</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Rank, seniority, wealth, friendship, share ownership, or Founder status does not automatically grant wallet, hangar, blueprint, structure, diplomatic, financial, Director, or command permissions. Access follows operational need and least privilege.</w:t>
            </w:r>
          </w:p>
        </w:tc>
      </w:tr>
    </w:tbl>
    <w:p>
      <w:pPr>
        <w:spacing w:after="20"/>
      </w:pPr>
    </w:p>
    <w:p>
      <w:r>
        <w:br w:type="page"/>
      </w:r>
    </w:p>
    <w:p>
      <w:pPr>
        <w:keepNext/>
        <w:spacing w:before="0" w:after="140"/>
      </w:pPr>
      <w:r>
        <w:rPr>
          <w:rFonts w:ascii="Aptos" w:hAnsi="Aptos"/>
          <w:b/>
          <w:color w:val="9E7A3C"/>
          <w:sz w:val="42"/>
        </w:rPr>
        <w:t xml:space="preserve">07  </w:t>
      </w:r>
      <w:r>
        <w:rPr>
          <w:rFonts w:ascii="Aptos" w:hAnsi="Aptos"/>
          <w:b/>
          <w:color w:val="182536"/>
          <w:sz w:val="42"/>
        </w:rPr>
        <w:t>MEMBER SERVICES: BUYBACK AND FREIGHT</w:t>
      </w:r>
    </w:p>
    <w:p>
      <w:pPr>
        <w:spacing w:after="200"/>
      </w:pPr>
      <w:r>
        <w:rPr>
          <w:rFonts w:ascii="Aptos" w:hAnsi="Aptos"/>
          <w:i/>
          <w:color w:val="56697A"/>
          <w:sz w:val="21"/>
        </w:rPr>
        <w:t>Simple public terms; complete procedures are issued internally.</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MIMGC BUYBACK PROGRAM</w:t>
      </w:r>
    </w:p>
    <w:p>
      <w:pPr>
        <w:keepNext w:val="0"/>
        <w:spacing w:before="0" w:after="80" w:line="259" w:lineRule="auto"/>
      </w:pPr>
      <w:r>
        <w:rPr>
          <w:rFonts w:ascii="Aptos" w:hAnsi="Aptos"/>
          <w:color w:val="1F2933"/>
          <w:sz w:val="19"/>
        </w:rPr>
        <w:t>The member buyback program allows approved materials to be sold directly to MIMGC using designated appraisal and contract procedures. Current standard public rates are:</w:t>
      </w:r>
    </w:p>
    <w:tbl>
      <w:tblPr>
        <w:tblW w:type="auto" w:w="0"/>
        <w:jc w:val="center"/>
        <w:tblLayout w:type="fixed"/>
        <w:tblLook w:firstColumn="1" w:firstRow="1" w:lastColumn="0" w:lastRow="0" w:noHBand="0" w:noVBand="1" w:val="04A0"/>
      </w:tblPr>
      <w:tblGrid>
        <w:gridCol w:w="2880"/>
        <w:gridCol w:w="7056"/>
      </w:tblGrid>
      <w:tr>
        <w:tc>
          <w:tcPr>
            <w:tcW w:type="dxa" w:w="5083"/>
            <w:shd w:fill="182536"/>
            <w:tcMar>
              <w:top w:w="95" w:type="dxa"/>
              <w:start w:w="130" w:type="dxa"/>
              <w:bottom w:w="95"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Rate</w:t>
            </w:r>
          </w:p>
        </w:tc>
        <w:tc>
          <w:tcPr>
            <w:tcW w:type="dxa" w:w="5083"/>
            <w:shd w:fill="182536"/>
            <w:tcMar>
              <w:top w:w="95" w:type="dxa"/>
              <w:start w:w="130" w:type="dxa"/>
              <w:bottom w:w="95" w:type="dxa"/>
              <w:end w:w="130" w:type="dxa"/>
            </w:tcMar>
            <w:tcBorders>
              <w:top w:val="single" w:sz="4" w:color="182536"/>
              <w:left w:val="single" w:sz="4" w:color="182536"/>
              <w:bottom w:val="single" w:sz="4" w:color="182536"/>
              <w:right w:val="single" w:sz="4" w:color="182536"/>
            </w:tcBorders>
          </w:tcPr>
          <w:p>
            <w:pPr>
              <w:spacing w:after="0"/>
            </w:pPr>
            <w:r>
              <w:rPr>
                <w:rFonts w:ascii="Aptos" w:hAnsi="Aptos"/>
                <w:b/>
                <w:color w:val="FFFFFF"/>
                <w:sz w:val="18"/>
              </w:rPr>
              <w:t>Eligible Categories</w:t>
            </w:r>
          </w:p>
        </w:tc>
        <w:trPr>
          <w:tblHeader/>
        </w:trPr>
      </w:tr>
      <w:tr>
        <w:tc>
          <w:tcPr>
            <w:tcW w:type="dxa" w:w="5083"/>
            <w:shd w:fill="DCE3E8"/>
            <w:tcMar>
              <w:top w:w="100" w:type="dxa"/>
              <w:start w:w="130" w:type="dxa"/>
              <w:bottom w:w="10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90% of approved Jita Buy value</w:t>
            </w:r>
          </w:p>
        </w:tc>
        <w:tc>
          <w:tcPr>
            <w:tcW w:type="dxa" w:w="5083"/>
            <w:shd w:fill="FFFFFF"/>
            <w:tcMar>
              <w:top w:w="100" w:type="dxa"/>
              <w:start w:w="130" w:type="dxa"/>
              <w:bottom w:w="10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Ore, Minerals, and Moon Materials</w:t>
            </w:r>
          </w:p>
        </w:tc>
      </w:tr>
      <w:tr>
        <w:tc>
          <w:tcPr>
            <w:tcW w:type="dxa" w:w="5083"/>
            <w:shd w:fill="F2F5F7"/>
            <w:tcMar>
              <w:top w:w="100" w:type="dxa"/>
              <w:start w:w="130" w:type="dxa"/>
              <w:bottom w:w="100"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182536"/>
                <w:sz w:val="17"/>
              </w:rPr>
              <w:t>85% of approved Jita Buy value</w:t>
            </w:r>
          </w:p>
        </w:tc>
        <w:tc>
          <w:tcPr>
            <w:tcW w:type="dxa" w:w="5083"/>
            <w:shd w:fill="F2F5F7"/>
            <w:tcMar>
              <w:top w:w="100" w:type="dxa"/>
              <w:start w:w="130" w:type="dxa"/>
              <w:bottom w:w="100"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Salvage, Planetary Industry Materials, and eligible Faction Loot</w:t>
            </w:r>
          </w:p>
        </w:tc>
      </w:tr>
    </w:tbl>
    <w:p>
      <w:pPr>
        <w:keepNext w:val="0"/>
        <w:spacing w:before="0" w:after="100" w:line="259" w:lineRule="auto"/>
      </w:pPr>
      <w:r>
        <w:rPr>
          <w:rFonts w:ascii="Aptos" w:hAnsi="Aptos"/>
          <w:color w:val="1F2933"/>
          <w:sz w:val="19"/>
        </w:rPr>
        <w:t>Items with unusual valuation, unreliable market data, special characteristics, or different rates may require manual review or separate contracts. Designated recipients, appraisal settings, approved locations, and processing windows are provided to members through internal procedures.</w:t>
      </w:r>
    </w:p>
    <w:p>
      <w:pPr>
        <w:keepNext/>
        <w:spacing w:before="100" w:after="80"/>
      </w:pPr>
      <w:r>
        <w:rPr>
          <w:rFonts w:ascii="Aptos" w:hAnsi="Aptos"/>
          <w:b/>
          <w:color w:val="56697A"/>
          <w:sz w:val="22"/>
        </w:rPr>
        <w:t>FREIGHT SERVICE ENVELOPE</w:t>
      </w:r>
    </w:p>
    <w:p>
      <w:pPr>
        <w:keepNext w:val="0"/>
        <w:spacing w:before="0" w:after="80" w:line="259" w:lineRule="auto"/>
      </w:pPr>
      <w:r>
        <w:rPr>
          <w:rFonts w:ascii="Aptos" w:hAnsi="Aptos"/>
          <w:color w:val="1F2933"/>
          <w:sz w:val="19"/>
        </w:rPr>
        <w:t>Unless a larger movement is specifically reviewed and authorized, MIMGC uses the following standard public limits:</w:t>
      </w:r>
    </w:p>
    <w:p>
      <w:pPr>
        <w:pStyle w:val="ListBullet"/>
        <w:spacing w:after="40" w:line="247" w:lineRule="auto"/>
        <w:ind w:left="259" w:hanging="173"/>
      </w:pPr>
      <w:r>
        <w:rPr>
          <w:rFonts w:ascii="Aptos" w:hAnsi="Aptos"/>
          <w:color w:val="1F2933"/>
          <w:sz w:val="18"/>
        </w:rPr>
        <w:t>Maximum aggregate volume: 845,000 m3 per ship movement.</w:t>
      </w:r>
    </w:p>
    <w:p>
      <w:pPr>
        <w:pStyle w:val="ListBullet"/>
        <w:spacing w:after="40" w:line="247" w:lineRule="auto"/>
        <w:ind w:left="259" w:hanging="173"/>
      </w:pPr>
      <w:r>
        <w:rPr>
          <w:rFonts w:ascii="Aptos" w:hAnsi="Aptos"/>
          <w:color w:val="1F2933"/>
          <w:sz w:val="18"/>
        </w:rPr>
        <w:t>Maximum aggregate contract collateral: 1.5 billion ISK per ship movement.</w:t>
      </w:r>
    </w:p>
    <w:p>
      <w:pPr>
        <w:pStyle w:val="ListBullet"/>
        <w:spacing w:after="40" w:line="247" w:lineRule="auto"/>
        <w:ind w:left="259" w:hanging="173"/>
      </w:pPr>
      <w:r>
        <w:rPr>
          <w:rFonts w:ascii="Aptos" w:hAnsi="Aptos"/>
          <w:color w:val="1F2933"/>
          <w:sz w:val="18"/>
        </w:rPr>
        <w:t>Larger or higher-risk shipments may require multiple separately scheduled movements or additional approval.</w:t>
      </w:r>
    </w:p>
    <w:p>
      <w:pPr>
        <w:pStyle w:val="ListBullet"/>
        <w:spacing w:after="40" w:line="247" w:lineRule="auto"/>
        <w:ind w:left="259" w:hanging="173"/>
      </w:pPr>
      <w:r>
        <w:rPr>
          <w:rFonts w:ascii="Aptos" w:hAnsi="Aptos"/>
          <w:color w:val="1F2933"/>
          <w:sz w:val="18"/>
        </w:rPr>
        <w:t>Contracts may not be split, combined, or structured merely to bypass MIMGC risk limits.</w:t>
      </w:r>
    </w:p>
    <w:p>
      <w:pPr>
        <w:keepNext/>
        <w:spacing w:before="100" w:after="80"/>
      </w:pPr>
      <w:r>
        <w:rPr>
          <w:rFonts w:ascii="Aptos" w:hAnsi="Aptos"/>
          <w:b/>
          <w:color w:val="56697A"/>
          <w:sz w:val="22"/>
        </w:rPr>
        <w:t>PUBLIC FREIGHT PRINCIPLES</w:t>
      </w:r>
    </w:p>
    <w:p>
      <w:pPr>
        <w:pStyle w:val="ListBullet"/>
        <w:spacing w:after="36" w:line="247" w:lineRule="auto"/>
        <w:ind w:left="259" w:hanging="173"/>
      </w:pPr>
      <w:r>
        <w:rPr>
          <w:rFonts w:ascii="Aptos" w:hAnsi="Aptos"/>
          <w:color w:val="1F2933"/>
          <w:sz w:val="18"/>
        </w:rPr>
        <w:t>Courier Contracts are the standard contract type for freight assignments.</w:t>
      </w:r>
    </w:p>
    <w:p>
      <w:pPr>
        <w:pStyle w:val="ListBullet"/>
        <w:spacing w:after="36" w:line="247" w:lineRule="auto"/>
        <w:ind w:left="259" w:hanging="173"/>
      </w:pPr>
      <w:r>
        <w:rPr>
          <w:rFonts w:ascii="Aptos" w:hAnsi="Aptos"/>
          <w:color w:val="1F2933"/>
          <w:sz w:val="18"/>
        </w:rPr>
        <w:t>Acceptance depends on destination access, war status, capacity, timing, route risk, and authorization.</w:t>
      </w:r>
    </w:p>
    <w:p>
      <w:pPr>
        <w:pStyle w:val="ListBullet"/>
        <w:spacing w:after="36" w:line="247" w:lineRule="auto"/>
        <w:ind w:left="259" w:hanging="173"/>
      </w:pPr>
      <w:r>
        <w:rPr>
          <w:rFonts w:ascii="Aptos" w:hAnsi="Aptos"/>
          <w:color w:val="1F2933"/>
          <w:sz w:val="18"/>
        </w:rPr>
        <w:t>Active routes, alternate routes, departure times, cargo values, pilot identities, and escort arrangements are not published.</w:t>
      </w:r>
    </w:p>
    <w:p>
      <w:pPr>
        <w:pStyle w:val="ListBullet"/>
        <w:spacing w:after="36" w:line="247" w:lineRule="auto"/>
        <w:ind w:left="259" w:hanging="173"/>
      </w:pPr>
      <w:r>
        <w:rPr>
          <w:rFonts w:ascii="Aptos" w:hAnsi="Aptos"/>
          <w:color w:val="1F2933"/>
          <w:sz w:val="18"/>
        </w:rPr>
        <w:t>No public statement guarantees same-day or one-day delivery.</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MEMBER PROCEDURES AND PUBLIC TERMS</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This page advertises the public service envelope only. Members must follow the current internal Buyback and Freight bulletins and any temporary Command instructions.</w:t>
              <w:br/>
              <w:br/>
              <w:t>Published buyback rates, freight limits, service categories, operating periods, and availability represent MIMGC's standard public terms as of this document's effective date. They may be revised, suspended, or replaced through an authorized public notice. The terms confirmed in writing for a specific accepted contract govern that engagement.</w:t>
            </w:r>
          </w:p>
        </w:tc>
      </w:tr>
    </w:tbl>
    <w:p>
      <w:pPr>
        <w:spacing w:after="20"/>
      </w:pPr>
    </w:p>
    <w:p>
      <w:r>
        <w:br w:type="page"/>
      </w:r>
    </w:p>
    <w:p>
      <w:pPr>
        <w:keepNext/>
        <w:spacing w:before="0" w:after="140"/>
      </w:pPr>
      <w:r>
        <w:rPr>
          <w:rFonts w:ascii="Aptos" w:hAnsi="Aptos"/>
          <w:b/>
          <w:color w:val="9E7A3C"/>
          <w:sz w:val="42"/>
        </w:rPr>
        <w:t xml:space="preserve">08  </w:t>
      </w:r>
      <w:r>
        <w:rPr>
          <w:rFonts w:ascii="Aptos" w:hAnsi="Aptos"/>
          <w:b/>
          <w:color w:val="182536"/>
          <w:sz w:val="42"/>
        </w:rPr>
        <w:t>M-CON ALLIANCE AND DIPLOMACY</w:t>
      </w:r>
    </w:p>
    <w:p>
      <w:pPr>
        <w:spacing w:after="200"/>
      </w:pPr>
      <w:r>
        <w:rPr>
          <w:rFonts w:ascii="Aptos" w:hAnsi="Aptos"/>
          <w:i/>
          <w:color w:val="56697A"/>
          <w:sz w:val="21"/>
        </w:rPr>
        <w:t>Industrial coordination without surrendering corporate independence.</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ALLIANCE RELATIONSHIP</w:t>
      </w:r>
    </w:p>
    <w:p>
      <w:pPr>
        <w:keepNext w:val="0"/>
        <w:spacing w:before="0" w:after="100" w:line="259" w:lineRule="auto"/>
      </w:pPr>
      <w:r>
        <w:rPr>
          <w:rFonts w:ascii="Aptos" w:hAnsi="Aptos"/>
          <w:color w:val="1F2933"/>
          <w:sz w:val="19"/>
        </w:rPr>
        <w:t>Misriah Consolidated Holdings [M-CON] is the alliance framework through which MIMGC coordinates alliance administration, industry, logistics, infrastructure, diplomacy, and mutual defense. MIMGC serves as the Executor Corporation.</w:t>
      </w:r>
    </w:p>
    <w:p>
      <w:pPr>
        <w:keepNext w:val="0"/>
        <w:spacing w:before="0" w:after="100" w:line="259" w:lineRule="auto"/>
      </w:pPr>
      <w:r>
        <w:rPr>
          <w:rFonts w:ascii="Aptos" w:hAnsi="Aptos"/>
          <w:color w:val="1F2933"/>
          <w:sz w:val="19"/>
        </w:rPr>
        <w:t>Executor status does not grant every MIMGC member authority over another alliance corporation. Member corporations retain control over their membership and internal governance, subject to current game mechanics and any agreements they have accepted.</w:t>
      </w:r>
    </w:p>
    <w:p>
      <w:pPr>
        <w:keepNext/>
        <w:spacing w:before="100" w:after="80"/>
      </w:pPr>
      <w:r>
        <w:rPr>
          <w:rFonts w:ascii="Aptos" w:hAnsi="Aptos"/>
          <w:b/>
          <w:color w:val="56697A"/>
          <w:sz w:val="22"/>
        </w:rPr>
        <w:t>PUBLIC DIPLOMATIC POSTURE</w:t>
      </w:r>
    </w:p>
    <w:p>
      <w:pPr>
        <w:keepNext w:val="0"/>
        <w:spacing w:before="0" w:after="60" w:line="259" w:lineRule="auto"/>
      </w:pPr>
      <w:r>
        <w:rPr>
          <w:rFonts w:ascii="Aptos" w:hAnsi="Aptos"/>
          <w:color w:val="1F2933"/>
          <w:sz w:val="19"/>
        </w:rPr>
        <w:t>M-CON is open to relationships that support stable industrial activity and mutual benefit, including:</w:t>
      </w:r>
    </w:p>
    <w:p>
      <w:pPr>
        <w:pStyle w:val="ListBullet"/>
        <w:spacing w:after="36" w:line="247" w:lineRule="auto"/>
        <w:ind w:left="259" w:hanging="173"/>
      </w:pPr>
      <w:r>
        <w:rPr>
          <w:rFonts w:ascii="Aptos" w:hAnsi="Aptos"/>
          <w:color w:val="1F2933"/>
          <w:sz w:val="18"/>
        </w:rPr>
        <w:t>Non-Aggression Pacts.</w:t>
      </w:r>
    </w:p>
    <w:p>
      <w:pPr>
        <w:pStyle w:val="ListBullet"/>
        <w:spacing w:after="36" w:line="247" w:lineRule="auto"/>
        <w:ind w:left="259" w:hanging="173"/>
      </w:pPr>
      <w:r>
        <w:rPr>
          <w:rFonts w:ascii="Aptos" w:hAnsi="Aptos"/>
          <w:color w:val="1F2933"/>
          <w:sz w:val="18"/>
        </w:rPr>
        <w:t>Industrial partnerships and supply agreements.</w:t>
      </w:r>
    </w:p>
    <w:p>
      <w:pPr>
        <w:pStyle w:val="ListBullet"/>
        <w:spacing w:after="36" w:line="247" w:lineRule="auto"/>
        <w:ind w:left="259" w:hanging="173"/>
      </w:pPr>
      <w:r>
        <w:rPr>
          <w:rFonts w:ascii="Aptos" w:hAnsi="Aptos"/>
          <w:color w:val="1F2933"/>
          <w:sz w:val="18"/>
        </w:rPr>
        <w:t>Freight, procurement, and manufacturing arrangements.</w:t>
      </w:r>
    </w:p>
    <w:p>
      <w:pPr>
        <w:pStyle w:val="ListBullet"/>
        <w:spacing w:after="36" w:line="247" w:lineRule="auto"/>
        <w:ind w:left="259" w:hanging="173"/>
      </w:pPr>
      <w:r>
        <w:rPr>
          <w:rFonts w:ascii="Aptos" w:hAnsi="Aptos"/>
          <w:color w:val="1F2933"/>
          <w:sz w:val="18"/>
        </w:rPr>
        <w:t>Infrastructure cooperation.</w:t>
      </w:r>
    </w:p>
    <w:p>
      <w:pPr>
        <w:pStyle w:val="ListBullet"/>
        <w:spacing w:after="36" w:line="247" w:lineRule="auto"/>
        <w:ind w:left="259" w:hanging="173"/>
      </w:pPr>
      <w:r>
        <w:rPr>
          <w:rFonts w:ascii="Aptos" w:hAnsi="Aptos"/>
          <w:color w:val="1F2933"/>
          <w:sz w:val="18"/>
        </w:rPr>
        <w:t>Mutual-defense agreements focused on protection rather than unrelated offensive action.</w:t>
      </w:r>
    </w:p>
    <w:p>
      <w:pPr>
        <w:pStyle w:val="ListBullet"/>
        <w:spacing w:after="36" w:line="247" w:lineRule="auto"/>
        <w:ind w:left="259" w:hanging="173"/>
      </w:pPr>
      <w:r>
        <w:rPr>
          <w:rFonts w:ascii="Aptos" w:hAnsi="Aptos"/>
          <w:color w:val="1F2933"/>
          <w:sz w:val="18"/>
        </w:rPr>
        <w:t>Alliance membership discussions with compatible corporations.</w:t>
      </w:r>
    </w:p>
    <w:p>
      <w:pPr>
        <w:keepNext/>
        <w:spacing w:before="100" w:after="80"/>
      </w:pPr>
      <w:r>
        <w:rPr>
          <w:rFonts w:ascii="Aptos" w:hAnsi="Aptos"/>
          <w:b/>
          <w:color w:val="56697A"/>
          <w:sz w:val="22"/>
        </w:rPr>
        <w:t>AUTHORITY TO NEGOTIATE</w:t>
      </w:r>
    </w:p>
    <w:p>
      <w:pPr>
        <w:keepNext w:val="0"/>
        <w:spacing w:before="0" w:after="100" w:line="259" w:lineRule="auto"/>
      </w:pPr>
      <w:r>
        <w:rPr>
          <w:rFonts w:ascii="Aptos" w:hAnsi="Aptos"/>
          <w:color w:val="1F2933"/>
          <w:sz w:val="19"/>
        </w:rPr>
        <w:t>Only the CEO and Executor, an authorized Executive Board representative, an authorized M-CON diplomatic representative, or another person holding written delegated authority may formally bind MIMGC or M-CON.</w:t>
      </w:r>
    </w:p>
    <w:p>
      <w:pPr>
        <w:keepNext w:val="0"/>
        <w:spacing w:before="0" w:after="100" w:line="259" w:lineRule="auto"/>
      </w:pPr>
      <w:r>
        <w:rPr>
          <w:rFonts w:ascii="Aptos" w:hAnsi="Aptos"/>
          <w:color w:val="1F2933"/>
          <w:sz w:val="19"/>
        </w:rPr>
        <w:t>Ordinary members, Fleet Commanders, shareholders, Founders, specialists, and departmental officers may provide information or make introductions, but they do not create a formal alliance obligation unless diplomatic authority has been separately delegated.</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DIPLOMATIC DOCUMENTS</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The M-CON Mutual Operational Agreement is an alliance-shared controlled document. Current M-CON member corporations may access the approved edition through the alliance workspace. Prospective signatories may receive an authorized diplomatic copy from M-CON leadership.</w:t>
            </w:r>
          </w:p>
        </w:tc>
      </w:tr>
    </w:tbl>
    <w:p>
      <w:pPr/>
      <w:r>
        <w:t>COLLECTIVE DEFENSE COMMITMENT</w:t>
      </w:r>
    </w:p>
    <w:p>
      <w:pPr/>
      <w:r>
        <w:t>M-CON maintains a collective-defense commitment under its Mutual Operational Agreement. After good-faith verification by authorized alliance leadership, a qualifying hostile attack against one member corporation may be treated as an attack against M-CON collectively.</w:t>
      </w:r>
    </w:p>
    <w:p>
      <w:pPr/>
      <w:r>
        <w:t>Each member corporation is expected to provide reasonable and timely assistance within its capabilities. Assistance may include defensive combat forces, scouting, intelligence, freight, evacuation, industrial production, replacement ships or materials, financial support, structure support, or diplomacy.</w:t>
      </w:r>
    </w:p>
    <w:p>
      <w:pPr/>
      <w:r>
        <w:t>PUBLIC LIMITS</w:t>
      </w:r>
    </w:p>
    <w:p>
      <w:pPr/>
      <w:r>
        <w:t>The commitment is defensive and does not automatically apply to isolated losses, consensual engagements, unauthorized aggression, personal feuds, Factional Warfare or pirate activity undertaken without approval, or incidents manufactured to obtain alliance support.</w:t>
      </w:r>
    </w:p>
    <w:p>
      <w:pPr/>
      <w:r>
        <w:t>Collective defense does not authorize piracy, revenge attacks, unrelated offensive roaming, attacks on neutral parties, or any conduct prohibited by CCP. It is an internal alliance obligation and does not create or expand legal engagement rights under EVE Online mechanics.</w:t>
      </w:r>
    </w:p>
    <w:p>
      <w:pPr/>
      <w:r>
        <w:t>CONTROLLED AGREEMENT</w:t>
      </w:r>
    </w:p>
    <w:p>
      <w:pPr/>
      <w:r>
        <w:t>The detailed M-CON Mutual Operational Agreement is available to current alliance member corporations through the alliance workspace and may be provided to serious prospective members or approved partners through authorized diplomatic distribution.</w:t>
      </w:r>
    </w:p>
    <w:p>
      <w:pPr/>
    </w:p>
    <w:p>
      <w:pPr/>
    </w:p>
    <w:p>
      <w:pPr>
        <w:keepNext/>
        <w:spacing w:before="0" w:after="140"/>
      </w:pPr>
      <w:r>
        <w:rPr>
          <w:rFonts w:ascii="Aptos" w:hAnsi="Aptos"/>
          <w:b/>
          <w:color w:val="9E7A3C"/>
          <w:sz w:val="42"/>
        </w:rPr>
        <w:t xml:space="preserve">09  </w:t>
      </w:r>
      <w:r>
        <w:rPr>
          <w:rFonts w:ascii="Aptos" w:hAnsi="Aptos"/>
          <w:b/>
          <w:color w:val="182536"/>
          <w:sz w:val="42"/>
        </w:rPr>
        <w:t>CONFIDENTIALITY AND PUBLIC INFORMATION</w:t>
      </w:r>
    </w:p>
    <w:p>
      <w:pPr>
        <w:spacing w:after="200"/>
      </w:pPr>
      <w:r>
        <w:rPr>
          <w:rFonts w:ascii="Aptos" w:hAnsi="Aptos"/>
          <w:i/>
          <w:color w:val="56697A"/>
          <w:sz w:val="21"/>
        </w:rPr>
        <w:t>Publish identity and capability; protect methods, movements, and vulnerabilities.</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INFORMATION MIMGC MAY PUBLISH</w:t>
      </w:r>
    </w:p>
    <w:p>
      <w:pPr>
        <w:pStyle w:val="ListBullet"/>
        <w:spacing w:after="34" w:line="247" w:lineRule="auto"/>
        <w:ind w:left="259" w:hanging="173"/>
      </w:pPr>
      <w:r>
        <w:rPr>
          <w:rFonts w:ascii="Aptos" w:hAnsi="Aptos"/>
          <w:color w:val="1F2933"/>
          <w:sz w:val="18"/>
        </w:rPr>
        <w:t>Corporate and alliance names, branding, mottos, and public leadership contacts.</w:t>
      </w:r>
    </w:p>
    <w:p>
      <w:pPr>
        <w:pStyle w:val="ListBullet"/>
        <w:spacing w:after="34" w:line="247" w:lineRule="auto"/>
        <w:ind w:left="259" w:hanging="173"/>
      </w:pPr>
      <w:r>
        <w:rPr>
          <w:rFonts w:ascii="Aptos" w:hAnsi="Aptos"/>
          <w:color w:val="1F2933"/>
          <w:sz w:val="18"/>
        </w:rPr>
        <w:t>General descriptions of services and recruitment opportunities.</w:t>
      </w:r>
    </w:p>
    <w:p>
      <w:pPr>
        <w:pStyle w:val="ListBullet"/>
        <w:spacing w:after="34" w:line="247" w:lineRule="auto"/>
        <w:ind w:left="259" w:hanging="173"/>
      </w:pPr>
      <w:r>
        <w:rPr>
          <w:rFonts w:ascii="Aptos" w:hAnsi="Aptos"/>
          <w:color w:val="1F2933"/>
          <w:sz w:val="18"/>
        </w:rPr>
        <w:t>Approved public buyback rates and standard freight limits.</w:t>
      </w:r>
    </w:p>
    <w:p>
      <w:pPr>
        <w:pStyle w:val="ListBullet"/>
        <w:spacing w:after="34" w:line="247" w:lineRule="auto"/>
        <w:ind w:left="259" w:hanging="173"/>
      </w:pPr>
      <w:r>
        <w:rPr>
          <w:rFonts w:ascii="Aptos" w:hAnsi="Aptos"/>
          <w:color w:val="1F2933"/>
          <w:sz w:val="18"/>
        </w:rPr>
        <w:t>Public statements concerning neutrality, conduct, and defensive posture.</w:t>
      </w:r>
    </w:p>
    <w:p>
      <w:pPr>
        <w:pStyle w:val="ListBullet"/>
        <w:spacing w:after="34" w:line="247" w:lineRule="auto"/>
        <w:ind w:left="259" w:hanging="173"/>
      </w:pPr>
      <w:r>
        <w:rPr>
          <w:rFonts w:ascii="Aptos" w:hAnsi="Aptos"/>
          <w:color w:val="1F2933"/>
          <w:sz w:val="18"/>
        </w:rPr>
        <w:t>Completed operations, achievements, or kill reports approved for release after operational risk has passed.</w:t>
      </w:r>
    </w:p>
    <w:p>
      <w:pPr>
        <w:pStyle w:val="ListBullet"/>
        <w:spacing w:after="34" w:line="247" w:lineRule="auto"/>
        <w:ind w:left="259" w:hanging="173"/>
      </w:pPr>
      <w:r>
        <w:rPr>
          <w:rFonts w:ascii="Aptos" w:hAnsi="Aptos"/>
          <w:color w:val="1F2933"/>
          <w:sz w:val="18"/>
        </w:rPr>
        <w:t>Public diplomatic statements issued by an authorized representative.</w:t>
      </w:r>
    </w:p>
    <w:p>
      <w:pPr>
        <w:keepNext/>
        <w:spacing w:before="100" w:after="80"/>
      </w:pPr>
      <w:r>
        <w:rPr>
          <w:rFonts w:ascii="Aptos" w:hAnsi="Aptos"/>
          <w:b/>
          <w:color w:val="56697A"/>
          <w:sz w:val="22"/>
        </w:rPr>
        <w:t>INFORMATION MIMGC DOES NOT PUBLISH</w:t>
      </w:r>
    </w:p>
    <w:p>
      <w:pPr>
        <w:pStyle w:val="ListBullet"/>
        <w:spacing w:after="34" w:line="247" w:lineRule="auto"/>
        <w:ind w:left="259" w:hanging="173"/>
      </w:pPr>
      <w:r>
        <w:rPr>
          <w:rFonts w:ascii="Aptos" w:hAnsi="Aptos"/>
          <w:color w:val="1F2933"/>
          <w:sz w:val="18"/>
        </w:rPr>
        <w:t>Active or alternate routes, departure times, schedules, or staging locations.</w:t>
      </w:r>
    </w:p>
    <w:p>
      <w:pPr>
        <w:pStyle w:val="ListBullet"/>
        <w:spacing w:after="34" w:line="247" w:lineRule="auto"/>
        <w:ind w:left="259" w:hanging="173"/>
      </w:pPr>
      <w:r>
        <w:rPr>
          <w:rFonts w:ascii="Aptos" w:hAnsi="Aptos"/>
          <w:color w:val="1F2933"/>
          <w:sz w:val="18"/>
        </w:rPr>
        <w:t>Client identities, private inquiries, contract terms, cargo contents, values, or commercial history.</w:t>
      </w:r>
    </w:p>
    <w:p>
      <w:pPr>
        <w:pStyle w:val="ListBullet"/>
        <w:spacing w:after="34" w:line="247" w:lineRule="auto"/>
        <w:ind w:left="259" w:hanging="173"/>
      </w:pPr>
      <w:r>
        <w:rPr>
          <w:rFonts w:ascii="Aptos" w:hAnsi="Aptos"/>
          <w:color w:val="1F2933"/>
          <w:sz w:val="18"/>
        </w:rPr>
        <w:t>Freight-pilot, scout, escort, or fleet identities tied to active operations.</w:t>
      </w:r>
    </w:p>
    <w:p>
      <w:pPr>
        <w:pStyle w:val="ListBullet"/>
        <w:spacing w:after="34" w:line="247" w:lineRule="auto"/>
        <w:ind w:left="259" w:hanging="173"/>
      </w:pPr>
      <w:r>
        <w:rPr>
          <w:rFonts w:ascii="Aptos" w:hAnsi="Aptos"/>
          <w:color w:val="1F2933"/>
          <w:sz w:val="18"/>
        </w:rPr>
        <w:t>Structure fuel, timers, readiness, vulnerability, service status, or access arrangements.</w:t>
      </w:r>
    </w:p>
    <w:p>
      <w:pPr>
        <w:pStyle w:val="ListBullet"/>
        <w:spacing w:after="34" w:line="247" w:lineRule="auto"/>
        <w:ind w:left="259" w:hanging="173"/>
      </w:pPr>
      <w:r>
        <w:rPr>
          <w:rFonts w:ascii="Aptos" w:hAnsi="Aptos"/>
          <w:color w:val="1F2933"/>
          <w:sz w:val="18"/>
        </w:rPr>
        <w:t>Wallet balances, strategic reserves, blueprint holdings, stockpiles, or internal pricing controls.</w:t>
      </w:r>
    </w:p>
    <w:p>
      <w:pPr>
        <w:pStyle w:val="ListBullet"/>
        <w:spacing w:after="34" w:line="247" w:lineRule="auto"/>
        <w:ind w:left="259" w:hanging="173"/>
      </w:pPr>
      <w:r>
        <w:rPr>
          <w:rFonts w:ascii="Aptos" w:hAnsi="Aptos"/>
          <w:color w:val="1F2933"/>
          <w:sz w:val="18"/>
        </w:rPr>
        <w:t>Security procedures, investigations, disciplinary evidence, access configurations, or defense plans.</w:t>
      </w:r>
    </w:p>
    <w:p>
      <w:pPr>
        <w:pStyle w:val="ListBullet"/>
        <w:spacing w:after="34" w:line="247" w:lineRule="auto"/>
        <w:ind w:left="259" w:hanging="173"/>
      </w:pPr>
      <w:r>
        <w:rPr>
          <w:rFonts w:ascii="Aptos" w:hAnsi="Aptos"/>
          <w:color w:val="1F2933"/>
          <w:sz w:val="18"/>
        </w:rPr>
        <w:t>Unreleased diplomatic negotiations or private communications.</w:t>
      </w:r>
    </w:p>
    <w:p>
      <w:pPr>
        <w:keepNext/>
        <w:spacing w:before="100" w:after="80"/>
      </w:pPr>
      <w:r>
        <w:rPr>
          <w:rFonts w:ascii="Aptos" w:hAnsi="Aptos"/>
          <w:b/>
          <w:color w:val="56697A"/>
          <w:sz w:val="22"/>
        </w:rPr>
        <w:t>CLIENT CONFIDENTIALITY</w:t>
      </w:r>
    </w:p>
    <w:p>
      <w:pPr>
        <w:keepNext w:val="0"/>
        <w:spacing w:before="0" w:after="100" w:line="259" w:lineRule="auto"/>
      </w:pPr>
      <w:r>
        <w:rPr>
          <w:rFonts w:ascii="Aptos" w:hAnsi="Aptos"/>
          <w:color w:val="1F2933"/>
          <w:sz w:val="19"/>
        </w:rPr>
        <w:t>MIMGC treats client and prospective-client information as protected unless the client authorizes disclosure or the information is already legitimately public. We do not advertise by exposing who hired us, what they moved, what they paid, or when and where the work occurred.</w:t>
      </w:r>
    </w:p>
    <w:p>
      <w:pPr>
        <w:keepNext/>
        <w:spacing w:before="100" w:after="80"/>
      </w:pPr>
      <w:r>
        <w:rPr>
          <w:rFonts w:ascii="Aptos" w:hAnsi="Aptos"/>
          <w:b/>
          <w:color w:val="56697A"/>
          <w:sz w:val="22"/>
        </w:rPr>
        <w:t>REPORTING EXCEPTIONS</w:t>
      </w:r>
    </w:p>
    <w:p>
      <w:pPr>
        <w:keepNext w:val="0"/>
        <w:spacing w:before="0" w:after="100" w:line="259" w:lineRule="auto"/>
      </w:pPr>
      <w:r>
        <w:rPr>
          <w:rFonts w:ascii="Aptos" w:hAnsi="Aptos"/>
          <w:color w:val="1F2933"/>
          <w:sz w:val="19"/>
        </w:rPr>
        <w:t>Confidentiality does not prevent a good-faith report to CCP, Discord, law enforcement, emergency services, legal counsel, or another competent authority when necessary to report threats, doxxing, harassment, account compromise, unlawful conduct, or suspected violations of governing platform rules.</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PUBLIC CHANNELS ARE PUBLIC</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Do not place confidential contract details, personal information, operational instructions, or sensitive disputes in M-CON Public or another open channel. Move legitimate business to an authorized private contact.</w:t>
            </w:r>
          </w:p>
        </w:tc>
      </w:tr>
    </w:tbl>
    <w:p>
      <w:pPr>
        <w:spacing w:after="20"/>
      </w:pPr>
    </w:p>
    <w:p>
      <w:pPr>
        <w:keepNext/>
        <w:spacing w:before="0" w:after="140"/>
      </w:pPr>
      <w:r>
        <w:rPr>
          <w:rFonts w:ascii="Aptos" w:hAnsi="Aptos"/>
          <w:b/>
          <w:color w:val="9E7A3C"/>
          <w:sz w:val="42"/>
        </w:rPr>
        <w:t xml:space="preserve">10  </w:t>
      </w:r>
      <w:r>
        <w:rPr>
          <w:rFonts w:ascii="Aptos" w:hAnsi="Aptos"/>
          <w:b/>
          <w:color w:val="182536"/>
          <w:sz w:val="42"/>
        </w:rPr>
        <w:t>CONTACTS, LEGAL NOTICE, AND REFERENCES</w:t>
      </w:r>
    </w:p>
    <w:p>
      <w:pPr>
        <w:spacing w:after="200"/>
      </w:pPr>
      <w:r>
        <w:rPr>
          <w:rFonts w:ascii="Aptos" w:hAnsi="Aptos"/>
          <w:i/>
          <w:color w:val="56697A"/>
          <w:sz w:val="21"/>
        </w:rPr>
        <w:t>How to reach MIMGC and where controlling EVE Online rules are published.</w:t>
      </w:r>
    </w:p>
    <w:tbl>
      <w:tblPr>
        <w:tblW w:type="auto" w:w="0"/>
        <w:jc w:val="left"/>
        <w:tblLayout w:type="fixed"/>
        <w:tblLook w:firstColumn="1" w:firstRow="1" w:lastColumn="0" w:lastRow="0" w:noHBand="0" w:noVBand="1" w:val="04A0"/>
      </w:tblPr>
      <w:tblGrid>
        <w:gridCol w:w="1656"/>
        <w:gridCol w:w="8424"/>
      </w:tblGrid>
      <w:tr>
        <w:trPr>
          <w:trHeight w:val="58" w:hRule="exact"/>
          <w:tblHeader/>
        </w:trPr>
        <w:tc>
          <w:tcPr>
            <w:tcW w:type="dxa" w:w="5083"/>
            <w:shd w:fill="9E7A3C"/>
            <w:tcMar>
              <w:top w:w="0" w:type="dxa"/>
              <w:start w:w="0" w:type="dxa"/>
              <w:bottom w:w="0" w:type="dxa"/>
              <w:end w:w="0" w:type="dxa"/>
            </w:tcMar>
          </w:tcPr>
          <w:p/>
        </w:tc>
        <w:tc>
          <w:tcPr>
            <w:tcW w:type="dxa" w:w="5083"/>
            <w:shd w:fill="DCE3E8"/>
            <w:tcMar>
              <w:top w:w="0" w:type="dxa"/>
              <w:start w:w="0" w:type="dxa"/>
              <w:bottom w:w="0" w:type="dxa"/>
              <w:end w:w="0" w:type="dxa"/>
            </w:tcMar>
          </w:tcPr>
          <w:p/>
        </w:tc>
      </w:tr>
    </w:tbl>
    <w:p>
      <w:pPr>
        <w:spacing w:after="20"/>
      </w:pPr>
    </w:p>
    <w:p>
      <w:pPr>
        <w:keepNext/>
        <w:spacing w:before="100" w:after="80"/>
      </w:pPr>
      <w:r>
        <w:rPr>
          <w:rFonts w:ascii="Aptos" w:hAnsi="Aptos"/>
          <w:b/>
          <w:color w:val="56697A"/>
          <w:sz w:val="22"/>
        </w:rPr>
        <w:t>PUBLIC CONTACTS</w:t>
      </w:r>
    </w:p>
    <w:tbl>
      <w:tblPr>
        <w:tblW w:type="auto" w:w="0"/>
        <w:jc w:val="center"/>
        <w:tblLayout w:type="fixed"/>
        <w:tblLook w:firstColumn="1" w:firstRow="1" w:lastColumn="0" w:lastRow="0" w:noHBand="0" w:noVBand="1" w:val="04A0"/>
      </w:tblPr>
      <w:tblGrid>
        <w:gridCol w:w="2880"/>
        <w:gridCol w:w="7056"/>
      </w:tblGrid>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CEO and Executor</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Nive Tsero</w:t>
            </w:r>
          </w:p>
        </w:tc>
        <w:trPr>
          <w:tblHeader/>
        </w:trPr>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Public Channel</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M-CON Public</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Recruitment</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Contact an authorized MIMGC Recruiter</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Client Contracts</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Contact the Executor or an authorized MIMGC representative</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Alliance and Diplomacy</w:t>
            </w:r>
          </w:p>
        </w:tc>
        <w:tc>
          <w:tcPr>
            <w:tcW w:type="dxa" w:w="5083"/>
            <w:shd w:fill="F2F5F7"/>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Contact the Executor or an authorized M-CON diplomatic representative</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Public Headquarters</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Aydoteaux</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Infrastructure Disclosure</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Exact structures, offices, access arrangements, staging locations, and operational facilities are disclosed only when authorized and necessary.</w:t>
            </w:r>
          </w:p>
        </w:tc>
      </w:tr>
      <w:tr>
        <w:tc>
          <w:tcPr>
            <w:tcW w:type="dxa" w:w="5083"/>
            <w:shd w:fill="182536"/>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b/>
                <w:color w:val="FFFFFF"/>
                <w:sz w:val="17"/>
              </w:rPr>
              <w:t>MISMAPS℠</w:t>
            </w:r>
          </w:p>
        </w:tc>
        <w:tc>
          <w:tcPr>
            <w:tcW w:type="dxa" w:w="5083"/>
            <w:shd w:fill="FFFFFF"/>
            <w:tcMar>
              <w:top w:w="95" w:type="dxa"/>
              <w:start w:w="130" w:type="dxa"/>
              <w:bottom w:w="95" w:type="dxa"/>
              <w:end w:w="130" w:type="dxa"/>
            </w:tcMar>
            <w:tcBorders>
              <w:top w:val="single" w:sz="3" w:color="C9D2D9"/>
              <w:left w:val="single" w:sz="3" w:color="C9D2D9"/>
              <w:bottom w:val="single" w:sz="3" w:color="C9D2D9"/>
              <w:right w:val="single" w:sz="3" w:color="C9D2D9"/>
            </w:tcBorders>
          </w:tcPr>
          <w:p>
            <w:pPr>
              <w:spacing w:after="0"/>
            </w:pPr>
            <w:r>
              <w:rPr>
                <w:rFonts w:ascii="Aptos" w:hAnsi="Aptos"/>
                <w:color w:val="1F2933"/>
                <w:sz w:val="17"/>
              </w:rPr>
              <w:t>Privately owned; operated in universe by MIMGC Cartography under authorization from the confidential MISMAPS℠ Proprietor</w:t>
            </w:r>
          </w:p>
        </w:tc>
      </w:tr>
    </w:tbl>
    <w:p>
      <w:pPr/>
      <w:r>
        <w:rPr>
          <w:b/>
        </w:rPr>
        <w:t>MISMAPS℠ OWNERSHIP AND OPERATION</w:t>
      </w:r>
    </w:p>
    <w:p>
      <w:pPr/>
      <w:r>
        <w:t>SERVICE-MARK NOTICE: MISMAPS℠ identifies the privately controlled online cartography, mapping, route-planning, and logistics-support service. The ℠ symbol asserts common-law service-mark rights and does not indicate federal registration. The claimed mark is MISMAPS; the ℠ symbol is not part of the mark.</w:t>
      </w:r>
    </w:p>
    <w:p>
      <w:pPr/>
      <w:r>
        <w:rPr>
          <w:b w:val="0"/>
        </w:rPr>
        <w:t>MISMAPS℠ is a privately owned and independently operated EVE Online community project. All real-world rights held in the MISMAPS℠ name, branding, website, software, infrastructure, documentation, original content, and associated goodwill remain with its private creator and proprietor, subject to the rights of CCP hf., third-party licensors, open-source licenses, and individual contributors.</w:t>
      </w:r>
    </w:p>
    <w:p>
      <w:pPr/>
      <w:r>
        <w:rPr>
          <w:b w:val="0"/>
        </w:rPr>
        <w:t>The proprietor's legal identity is maintained in a separate confidential ownership record and is not disclosed through public, corporate, or alliance materials.</w:t>
      </w:r>
    </w:p>
    <w:p>
      <w:pPr/>
      <w:r>
        <w:rPr>
          <w:b w:val="0"/>
        </w:rPr>
        <w:t>Within the MIMGC and M-CON organizational framework, Misriah Industry Materials Group [MIMGC] is authorized to operate MISMAPS℠ through MIMGC Cartography. Misriah Consolidated Holdings [M-CON], its member corporations, approved partners, clients, and members of the public may receive authorized access or use.</w:t>
      </w:r>
    </w:p>
    <w:p>
      <w:pPr/>
      <w:r>
        <w:rPr>
          <w:b w:val="0"/>
        </w:rPr>
        <w:t>Operation, access, branding, integration, contribution, or use does not transfer ownership of MISMAPS℠ to MIMGC, M-CON, any member corporation, any EVE Online character, or any user. No public or alliance statement may be interpreted as an assignment of the real-world MISMAPS℠ project.</w:t>
      </w:r>
    </w:p>
    <w:p>
      <w:pPr>
        <w:keepNext/>
        <w:spacing w:before="100" w:after="80"/>
      </w:pPr>
      <w:r>
        <w:rPr>
          <w:rFonts w:ascii="Aptos" w:hAnsi="Aptos"/>
          <w:b/>
          <w:color w:val="56697A"/>
          <w:sz w:val="22"/>
        </w:rPr>
        <w:t>PUBLIC LEGAL AND AFFILIATION NOTICE</w:t>
      </w:r>
    </w:p>
    <w:p>
      <w:pPr>
        <w:keepNext w:val="0"/>
        <w:spacing w:before="0" w:after="80" w:line="259" w:lineRule="auto"/>
      </w:pPr>
      <w:r>
        <w:rPr>
          <w:rFonts w:ascii="Aptos" w:hAnsi="Aptos"/>
          <w:color w:val="1F2933"/>
          <w:sz w:val="19"/>
        </w:rPr>
        <w:t>MIMGC and M-CON are player-operated organizations within EVE Online. They are not affiliated with, sponsored by, endorsed by, or acting on behalf of CCP hf. EVE Online and associated names, settings, and intellectual property belong to their respective rights holders.</w:t>
      </w:r>
    </w:p>
    <w:p>
      <w:pPr>
        <w:keepNext w:val="0"/>
        <w:spacing w:before="0" w:after="100" w:line="259" w:lineRule="auto"/>
      </w:pPr>
      <w:r>
        <w:rPr>
          <w:rFonts w:ascii="Aptos" w:hAnsi="Aptos"/>
          <w:color w:val="1F2933"/>
          <w:sz w:val="19"/>
        </w:rPr>
        <w:t>This guide is a statement of player-organization policy and public intent. It is not a real-world employment agreement, insurance policy, investment product, transportation guarantee, legal partnership, or contract with CCP. Any specific service relationship is governed by the written terms accepted by authorized participants and the mechanics of EVE Online.</w:t>
      </w:r>
    </w:p>
    <w:tbl>
      <w:tblPr>
        <w:tblW w:type="auto" w:w="0"/>
        <w:jc w:val="center"/>
        <w:tblLayout w:type="fixed"/>
        <w:tblLook w:firstColumn="1" w:firstRow="1" w:lastColumn="0" w:lastRow="0" w:noHBand="0" w:noVBand="1" w:val="04A0"/>
      </w:tblPr>
      <w:tblGrid>
        <w:gridCol w:w="9864"/>
      </w:tblGrid>
      <w:tr>
        <w:tc>
          <w:tcPr>
            <w:tcW w:type="dxa" w:w="10166"/>
            <w:shd w:fill="182536"/>
            <w:tcMar>
              <w:top w:w="80" w:type="dxa"/>
              <w:start w:w="140" w:type="dxa"/>
              <w:bottom w:w="80" w:type="dxa"/>
              <w:end w:w="140" w:type="dxa"/>
            </w:tcMar>
            <w:tcBorders>
              <w:top w:val="single" w:sz="5" w:color="182536"/>
              <w:left w:val="single" w:sz="5" w:color="182536"/>
              <w:bottom w:val="single" w:sz="5" w:color="182536"/>
              <w:right w:val="single" w:sz="5" w:color="182536"/>
            </w:tcBorders>
          </w:tcPr>
          <w:p>
            <w:pPr>
              <w:spacing w:after="0"/>
            </w:pPr>
            <w:r>
              <w:rPr>
                <w:rFonts w:ascii="Aptos" w:hAnsi="Aptos"/>
                <w:b/>
                <w:color w:val="FFFFFF"/>
                <w:sz w:val="21"/>
              </w:rPr>
              <w:t>CCP RULES TAKE PRECEDENCE</w:t>
            </w:r>
          </w:p>
        </w:tc>
        <w:trPr>
          <w:tblHeader/>
        </w:trPr>
      </w:tr>
      <w:tr>
        <w:tc>
          <w:tcPr>
            <w:tcW w:type="dxa" w:w="10166"/>
            <w:shd w:fill="F2F5F7"/>
            <w:tcMar>
              <w:top w:w="110" w:type="dxa"/>
              <w:start w:w="150" w:type="dxa"/>
              <w:bottom w:w="110" w:type="dxa"/>
              <w:end w:w="150" w:type="dxa"/>
            </w:tcMar>
            <w:tcBorders>
              <w:top w:val="single" w:sz="5" w:color="182536"/>
              <w:left w:val="single" w:sz="5" w:color="182536"/>
              <w:bottom w:val="single" w:sz="5" w:color="182536"/>
              <w:right w:val="single" w:sz="5" w:color="182536"/>
            </w:tcBorders>
          </w:tcPr>
          <w:p>
            <w:pPr>
              <w:spacing w:after="0" w:line="252" w:lineRule="auto"/>
            </w:pPr>
            <w:r>
              <w:rPr>
                <w:rFonts w:ascii="Aptos" w:hAnsi="Aptos"/>
                <w:color w:val="1F2933"/>
                <w:sz w:val="18"/>
              </w:rPr>
              <w:t>Nothing in this guide, any MIMGC or M-CON policy, or any instruction from corporate or alliance leadership overrides the current EVE Online EULA, Terms of Service, official CCP policies, or applicable game mechanics. MIMGC may enforce stricter internal standards, but it cannot authorize conduct prohibited by CCP.</w:t>
            </w:r>
          </w:p>
        </w:tc>
      </w:tr>
    </w:tbl>
    <w:p>
      <w:pPr>
        <w:keepNext/>
        <w:spacing w:before="100" w:after="80"/>
      </w:pPr>
      <w:r>
        <w:rPr>
          <w:rFonts w:ascii="Aptos" w:hAnsi="Aptos"/>
          <w:b/>
          <w:color w:val="56697A"/>
          <w:sz w:val="22"/>
        </w:rPr>
        <w:t>OFFICIAL CCP REFERENCES</w:t>
      </w:r>
    </w:p>
    <w:p>
      <w:pPr>
        <w:pStyle w:val="ListBullet"/>
        <w:spacing w:after="32" w:line="240" w:lineRule="auto"/>
        <w:ind w:left="259" w:hanging="173"/>
      </w:pPr>
      <w:hyperlink r:id="rId11">
        <w:r>
          <w:rPr>
            <w:color w:val="1E5A88"/>
            <w:u w:val="single"/>
            <w:rFonts w:ascii="Aptos" w:hAnsi="Aptos"/>
          </w:rPr>
          <w:t>EVE Online - End User License Agreement</w:t>
        </w:r>
      </w:hyperlink>
    </w:p>
    <w:p>
      <w:pPr>
        <w:pStyle w:val="ListBullet"/>
        <w:spacing w:after="32" w:line="240" w:lineRule="auto"/>
        <w:ind w:left="259" w:hanging="173"/>
      </w:pPr>
      <w:hyperlink r:id="rId12">
        <w:r>
          <w:rPr>
            <w:color w:val="1E5A88"/>
            <w:u w:val="single"/>
            <w:rFonts w:ascii="Aptos" w:hAnsi="Aptos"/>
          </w:rPr>
          <w:t>EVE Online - Terms of Service</w:t>
        </w:r>
      </w:hyperlink>
    </w:p>
    <w:p>
      <w:pPr>
        <w:pStyle w:val="ListBullet"/>
        <w:spacing w:after="32" w:line="240" w:lineRule="auto"/>
        <w:ind w:left="259" w:hanging="173"/>
      </w:pPr>
      <w:hyperlink r:id="rId13">
        <w:r>
          <w:rPr>
            <w:color w:val="1E5A88"/>
            <w:u w:val="single"/>
            <w:rFonts w:ascii="Aptos" w:hAnsi="Aptos"/>
          </w:rPr>
          <w:t>EULA, ToS, and Policies Index</w:t>
        </w:r>
      </w:hyperlink>
    </w:p>
    <w:p>
      <w:pPr>
        <w:pStyle w:val="ListBullet"/>
        <w:spacing w:after="32" w:line="240" w:lineRule="auto"/>
        <w:ind w:left="259" w:hanging="173"/>
      </w:pPr>
      <w:hyperlink r:id="rId14">
        <w:r>
          <w:rPr>
            <w:color w:val="1E5A88"/>
            <w:u w:val="single"/>
            <w:rFonts w:ascii="Aptos" w:hAnsi="Aptos"/>
          </w:rPr>
          <w:t>Ship Safety Setting</w:t>
        </w:r>
      </w:hyperlink>
    </w:p>
    <w:p>
      <w:pPr>
        <w:pStyle w:val="ListBullet"/>
        <w:spacing w:after="32" w:line="240" w:lineRule="auto"/>
        <w:ind w:left="259" w:hanging="173"/>
      </w:pPr>
      <w:hyperlink r:id="rId15">
        <w:r>
          <w:rPr>
            <w:color w:val="1E5A88"/>
            <w:u w:val="single"/>
            <w:rFonts w:ascii="Aptos" w:hAnsi="Aptos"/>
          </w:rPr>
          <w:t>War Eligibility</w:t>
        </w:r>
      </w:hyperlink>
    </w:p>
    <w:p>
      <w:pPr>
        <w:pStyle w:val="ListBullet"/>
        <w:spacing w:after="32" w:line="240" w:lineRule="auto"/>
        <w:ind w:left="259" w:hanging="173"/>
      </w:pPr>
      <w:hyperlink r:id="rId16">
        <w:r>
          <w:rPr>
            <w:color w:val="1E5A88"/>
            <w:u w:val="single"/>
            <w:rFonts w:ascii="Aptos" w:hAnsi="Aptos"/>
          </w:rPr>
          <w:t>Wars</w:t>
        </w:r>
      </w:hyperlink>
    </w:p>
    <w:p>
      <w:pPr>
        <w:pStyle w:val="ListBullet"/>
        <w:spacing w:after="32" w:line="240" w:lineRule="auto"/>
        <w:ind w:left="259" w:hanging="173"/>
      </w:pPr>
      <w:hyperlink r:id="rId17">
        <w:r>
          <w:rPr>
            <w:color w:val="1E5A88"/>
            <w:u w:val="single"/>
            <w:rFonts w:ascii="Aptos" w:hAnsi="Aptos"/>
          </w:rPr>
          <w:t>Factional Warfare</w:t>
        </w:r>
      </w:hyperlink>
    </w:p>
    <w:p>
      <w:pPr>
        <w:pStyle w:val="ListBullet"/>
        <w:spacing w:after="32" w:line="240" w:lineRule="auto"/>
        <w:ind w:left="259" w:hanging="173"/>
      </w:pPr>
      <w:hyperlink r:id="rId18">
        <w:r>
          <w:rPr>
            <w:color w:val="1E5A88"/>
            <w:u w:val="single"/>
            <w:rFonts w:ascii="Aptos" w:hAnsi="Aptos"/>
          </w:rPr>
          <w:t>Account Sharing</w:t>
        </w:r>
      </w:hyperlink>
    </w:p>
    <w:p>
      <w:pPr>
        <w:pStyle w:val="ListBullet"/>
        <w:spacing w:after="32" w:line="240" w:lineRule="auto"/>
        <w:ind w:left="259" w:hanging="173"/>
      </w:pPr>
      <w:hyperlink r:id="rId19">
        <w:r>
          <w:rPr>
            <w:color w:val="1E5A88"/>
            <w:u w:val="single"/>
            <w:rFonts w:ascii="Aptos" w:hAnsi="Aptos"/>
          </w:rPr>
          <w:t>Real Money Trading (RMT)</w:t>
        </w:r>
      </w:hyperlink>
    </w:p>
    <w:sectPr>
      <w:headerReference w:type="default" r:id="rId9"/>
      <w:footerReference w:type="default" r:id="rId10"/>
      <w:footerReference w:type="first" r:id="rId20"/>
      <w:headerReference w:type="first" r:id="rId21"/>
      <w:headerReference w:type="even" r:id="rId22"/>
      <w:footerReference w:type="even" r:id="rId23"/>
      <w:pgSz w:w="12240" w:h="15840"/>
      <w:pgMar w:top="979" w:right="1037" w:bottom="936" w:left="1037"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312"/>
      <w:gridCol w:w="3456"/>
      <w:gridCol w:w="3312"/>
    </w:tblGrid>
    <w:tr>
      <w:tc>
        <w:tcPr>
          <w:tcW w:type="dxa" w:w="3360"/>
          <w:tcMar>
            <w:top w:w="0" w:type="dxa"/>
            <w:start w:w="0" w:type="dxa"/>
            <w:bottom w:w="0" w:type="dxa"/>
            <w:end w:w="0" w:type="dxa"/>
          </w:tcMar>
          <w:tcBorders>
            <w:top w:val="single" w:sz="6" w:color="DCE3E8"/>
          </w:tcBorders>
        </w:tcPr>
        <w:p>
          <w:pPr>
            <w:jc w:val="left"/>
          </w:pPr>
          <w:r>
            <w:rPr>
              <w:rFonts w:ascii="Aptos" w:hAnsi="Aptos"/>
              <w:color w:val="56697A"/>
              <w:sz w:val="15"/>
            </w:rPr>
            <w:t>MIMGC-PUB-001  |  Version 1.4</w:t>
          </w:r>
        </w:p>
      </w:tc>
      <w:tc>
        <w:tcPr>
          <w:tcW w:type="dxa" w:w="3360"/>
          <w:tcMar>
            <w:top w:w="0" w:type="dxa"/>
            <w:start w:w="0" w:type="dxa"/>
            <w:bottom w:w="0" w:type="dxa"/>
            <w:end w:w="0" w:type="dxa"/>
          </w:tcMar>
          <w:tcBorders>
            <w:top w:val="single" w:sz="6" w:color="DCE3E8"/>
          </w:tcBorders>
        </w:tcPr>
        <w:p>
          <w:pPr>
            <w:jc w:val="center"/>
          </w:pPr>
          <w:r>
            <w:rPr>
              <w:rFonts w:ascii="Aptos" w:hAnsi="Aptos"/>
              <w:b/>
              <w:color w:val="182536"/>
              <w:sz w:val="15"/>
            </w:rPr>
            <w:t>FLY SAFE. BUILD HEAVY.</w:t>
          </w:r>
        </w:p>
      </w:tc>
      <w:tc>
        <w:tcPr>
          <w:tcW w:type="dxa" w:w="3360"/>
          <w:tcMar>
            <w:top w:w="0" w:type="dxa"/>
            <w:start w:w="0" w:type="dxa"/>
            <w:bottom w:w="0" w:type="dxa"/>
            <w:end w:w="0" w:type="dxa"/>
          </w:tcMar>
          <w:tcBorders>
            <w:top w:val="single" w:sz="6" w:color="DCE3E8"/>
          </w:tcBorders>
        </w:tcPr>
        <w:p>
          <w:pPr>
            <w:jc w:val="right"/>
          </w:pPr>
          <w:r>
            <w:rPr>
              <w:rFonts w:ascii="Aptos" w:hAnsi="Aptos"/>
              <w:color w:val="56697A"/>
              <w:sz w:val="15"/>
            </w:rPr>
            <w:t>PUBLIC EDITION</w:t>
          </w:r>
          <w:r>
            <w:rPr>
              <w:rFonts w:ascii="Aptos" w:hAnsi="Aptos"/>
              <w:color w:val="56697A"/>
              <w:sz w:val="15"/>
            </w:rPr>
          </w:r>
        </w:p>
      </w:tc>
      <w:trPr>
        <w:tblHeader/>
      </w:trPr>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6697A"/>
        <w:sz w:val="15"/>
      </w:rPr>
      <w:t>MIMGC PUBLIC CORPORATE CHARTER  |  Version 1.4  |  PUBLIC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8208"/>
      <w:gridCol w:w="1872"/>
    </w:tblGrid>
    <w:tr>
      <w:tc>
        <w:tcPr>
          <w:tcW w:type="dxa" w:w="5040"/>
          <w:tcMar>
            <w:top w:w="0" w:type="dxa"/>
            <w:start w:w="0" w:type="dxa"/>
            <w:bottom w:w="0" w:type="dxa"/>
            <w:end w:w="0" w:type="dxa"/>
          </w:tcMar>
          <w:tcBorders>
            <w:bottom w:val="single" w:sz="6" w:color="DCE3E8"/>
          </w:tcBorders>
        </w:tcPr>
        <w:p>
          <w:pPr>
            <w:jc w:val="left"/>
          </w:pPr>
          <w:r>
            <w:rPr>
              <w:rFonts w:ascii="Aptos" w:hAnsi="Aptos"/>
              <w:b/>
              <w:color w:val="56697A"/>
              <w:sz w:val="16"/>
            </w:rPr>
            <w:t>MISRIAH INDUSTRY MATERIALS GROUP [MIMGC]  |  PUBLIC EDITION</w:t>
          </w:r>
        </w:p>
      </w:tc>
      <w:tc>
        <w:tcPr>
          <w:tcW w:type="dxa" w:w="5040"/>
          <w:tcMar>
            <w:top w:w="0" w:type="dxa"/>
            <w:start w:w="0" w:type="dxa"/>
            <w:bottom w:w="0" w:type="dxa"/>
            <w:end w:w="0" w:type="dxa"/>
          </w:tcMar>
          <w:tcBorders>
            <w:bottom w:val="single" w:sz="6" w:color="DCE3E8"/>
          </w:tcBorders>
        </w:tcPr>
        <w:p>
          <w:pPr>
            <w:jc w:val="right"/>
          </w:pPr>
          <w:r>
            <w:rPr>
              <w:rFonts w:ascii="Aptos" w:hAnsi="Aptos"/>
              <w:b/>
              <w:color w:val="9E7A3C"/>
              <w:sz w:val="16"/>
            </w:rPr>
            <w:t>PUBLIC</w:t>
          </w:r>
        </w:p>
      </w:tc>
      <w:trPr>
        <w:tblHeader/>
      </w:trPr>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pport.eveonline.com/hc/en-us/articles/8413329735580-EVE-Online-End-User-License-Agreement" TargetMode="External"/><Relationship Id="rId12" Type="http://schemas.openxmlformats.org/officeDocument/2006/relationships/hyperlink" Target="https://support.eveonline.com/hc/en-us/articles/8414770561948-EVE-Online-Terms-of-Service" TargetMode="External"/><Relationship Id="rId13" Type="http://schemas.openxmlformats.org/officeDocument/2006/relationships/hyperlink" Target="https://support.eveonline.com/hc/en-us/sections/8413327523612-EULA-ToS-Policies" TargetMode="External"/><Relationship Id="rId14" Type="http://schemas.openxmlformats.org/officeDocument/2006/relationships/hyperlink" Target="https://support.eveonline.com/hc/en-us/articles/205268171-Ship-Safety-Setting" TargetMode="External"/><Relationship Id="rId15" Type="http://schemas.openxmlformats.org/officeDocument/2006/relationships/hyperlink" Target="https://support.eveonline.com/hc/en-us/articles/360001975920-War-Eligibility" TargetMode="External"/><Relationship Id="rId16" Type="http://schemas.openxmlformats.org/officeDocument/2006/relationships/hyperlink" Target="https://support.eveonline.com/hc/en-us/articles/115004152745-Wars" TargetMode="External"/><Relationship Id="rId17" Type="http://schemas.openxmlformats.org/officeDocument/2006/relationships/hyperlink" Target="https://support.eveonline.com/hc/en-us/articles/203209072-Factional-Warfare" TargetMode="External"/><Relationship Id="rId18" Type="http://schemas.openxmlformats.org/officeDocument/2006/relationships/hyperlink" Target="https://support.eveonline.com/hc/en-us/articles/203269561-Account-Sharing" TargetMode="External"/><Relationship Id="rId19" Type="http://schemas.openxmlformats.org/officeDocument/2006/relationships/hyperlink" Target="https://support.eveonline.com/hc/en-us/articles/7370633552284-Real-Money-Trading-RMT" TargetMode="External"/><Relationship Id="rId20" Type="http://schemas.openxmlformats.org/officeDocument/2006/relationships/footer" Target="footer2.xml"/><Relationship Id="rId21" Type="http://schemas.openxmlformats.org/officeDocument/2006/relationships/header" Target="header2.xml"/><Relationship Id="rId22" Type="http://schemas.openxmlformats.org/officeDocument/2006/relationships/header" Target="header3.xml"/><Relationship Id="rId2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MIMGC Public Corporate Charter &amp; Operations Guide</dc:title>
  <dc:subject>Version 1.4 - MISMAPS Service Mark Alignment Edition</dc:subject>
  <dc:creator/>
  <cp:keywords>MIMGC, M-CON, EVE Online, public charter, industrial corporation</cp:keywords>
  <dc:description>Approved service-mark alignment edition. Approved, effective, and published August 1, 2026 - YC128.08.01. Supersedes Version 1.3.</dc:description>
  <cp:lastModifiedBy/>
  <cp:revision>1</cp:revision>
  <dcterms:created xsi:type="dcterms:W3CDTF">2013-12-23T23:15:00Z</dcterms:created>
  <dcterms:modified xsi:type="dcterms:W3CDTF">2013-12-23T23:15:00Z</dcterms:modified>
  <cp:category/>
</cp:coreProperties>
</file>